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878" w:rsidRPr="00834794" w:rsidRDefault="00DB1878" w:rsidP="000C5E62">
      <w:pPr>
        <w:widowControl/>
        <w:spacing w:line="590" w:lineRule="exact"/>
        <w:jc w:val="left"/>
        <w:rPr>
          <w:rFonts w:ascii="黑体" w:eastAsia="黑体" w:hAnsi="黑体" w:cs="方正小标宋简体"/>
          <w:kern w:val="0"/>
          <w:sz w:val="32"/>
          <w:szCs w:val="32"/>
          <w:shd w:val="clear" w:color="auto" w:fill="FFFFFF"/>
        </w:rPr>
      </w:pPr>
      <w:r w:rsidRPr="00834794">
        <w:rPr>
          <w:rFonts w:ascii="黑体" w:eastAsia="黑体" w:hAnsi="黑体" w:cs="方正小标宋简体" w:hint="eastAsia"/>
          <w:kern w:val="0"/>
          <w:sz w:val="32"/>
          <w:szCs w:val="32"/>
          <w:shd w:val="clear" w:color="auto" w:fill="FFFFFF"/>
        </w:rPr>
        <w:t>附件</w:t>
      </w:r>
    </w:p>
    <w:p w:rsidR="00DB1878" w:rsidRPr="00834794" w:rsidRDefault="00DB1878" w:rsidP="000C5E62">
      <w:pPr>
        <w:widowControl/>
        <w:spacing w:line="590" w:lineRule="exact"/>
        <w:jc w:val="left"/>
        <w:rPr>
          <w:rFonts w:ascii="黑体" w:eastAsia="黑体" w:hAnsi="黑体" w:cs="方正小标宋简体"/>
          <w:kern w:val="0"/>
          <w:sz w:val="32"/>
          <w:szCs w:val="32"/>
          <w:shd w:val="clear" w:color="auto" w:fill="FFFFFF"/>
        </w:rPr>
      </w:pPr>
    </w:p>
    <w:p w:rsidR="00DB1878" w:rsidRPr="00834794" w:rsidRDefault="00DB1878" w:rsidP="000C5E62">
      <w:pPr>
        <w:widowControl/>
        <w:shd w:val="clear" w:color="auto" w:fill="FFFFFF"/>
        <w:spacing w:line="590" w:lineRule="exact"/>
        <w:jc w:val="center"/>
        <w:rPr>
          <w:rFonts w:ascii="Times New Roman" w:eastAsia="创艺简标宋" w:hAnsi="Times New Roman" w:cs="Times New Roman"/>
          <w:kern w:val="0"/>
          <w:sz w:val="44"/>
          <w:szCs w:val="44"/>
          <w:shd w:val="clear" w:color="auto" w:fill="FFFFFF"/>
        </w:rPr>
      </w:pPr>
      <w:r w:rsidRPr="00834794">
        <w:rPr>
          <w:rFonts w:ascii="Times New Roman" w:eastAsia="创艺简标宋" w:hAnsi="Times New Roman" w:cs="Times New Roman"/>
          <w:kern w:val="0"/>
          <w:sz w:val="44"/>
          <w:szCs w:val="44"/>
          <w:shd w:val="clear" w:color="auto" w:fill="FFFFFF"/>
        </w:rPr>
        <w:t>2019</w:t>
      </w:r>
      <w:r w:rsidRPr="00834794">
        <w:rPr>
          <w:rFonts w:ascii="Times New Roman" w:eastAsia="创艺简标宋" w:hAnsi="Times New Roman" w:cs="Times New Roman" w:hint="eastAsia"/>
          <w:kern w:val="0"/>
          <w:sz w:val="44"/>
          <w:szCs w:val="44"/>
          <w:shd w:val="clear" w:color="auto" w:fill="FFFFFF"/>
        </w:rPr>
        <w:t>年宁海县政务公开工作</w:t>
      </w:r>
      <w:r>
        <w:rPr>
          <w:rFonts w:ascii="Times New Roman" w:eastAsia="创艺简标宋" w:hAnsi="Times New Roman" w:cs="Times New Roman" w:hint="eastAsia"/>
          <w:kern w:val="0"/>
          <w:sz w:val="44"/>
          <w:szCs w:val="44"/>
          <w:shd w:val="clear" w:color="auto" w:fill="FFFFFF"/>
        </w:rPr>
        <w:t>任务及责任</w:t>
      </w:r>
      <w:r w:rsidRPr="00834794">
        <w:rPr>
          <w:rFonts w:ascii="Times New Roman" w:eastAsia="创艺简标宋" w:hAnsi="Times New Roman" w:cs="Times New Roman" w:hint="eastAsia"/>
          <w:kern w:val="0"/>
          <w:sz w:val="44"/>
          <w:szCs w:val="44"/>
          <w:shd w:val="clear" w:color="auto" w:fill="FFFFFF"/>
        </w:rPr>
        <w:t>分工</w:t>
      </w:r>
    </w:p>
    <w:p w:rsidR="00DB1878" w:rsidRPr="00834794" w:rsidRDefault="00DB1878" w:rsidP="000C5E62">
      <w:pPr>
        <w:widowControl/>
        <w:shd w:val="clear" w:color="auto" w:fill="FFFFFF"/>
        <w:spacing w:line="590" w:lineRule="exact"/>
        <w:jc w:val="center"/>
        <w:rPr>
          <w:rFonts w:ascii="Times New Roman" w:eastAsia="创艺简标宋" w:hAnsi="Times New Roman" w:cs="Times New Roman"/>
        </w:rPr>
      </w:pPr>
    </w:p>
    <w:tbl>
      <w:tblPr>
        <w:tblW w:w="887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616"/>
        <w:gridCol w:w="5767"/>
        <w:gridCol w:w="2492"/>
      </w:tblGrid>
      <w:tr w:rsidR="00DB1878" w:rsidRPr="00834794" w:rsidTr="00171DCB">
        <w:trPr>
          <w:trHeight w:val="567"/>
          <w:tblHeader/>
        </w:trPr>
        <w:tc>
          <w:tcPr>
            <w:tcW w:w="616"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序号</w:t>
            </w:r>
          </w:p>
        </w:tc>
        <w:tc>
          <w:tcPr>
            <w:tcW w:w="5767"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工作任务</w:t>
            </w:r>
          </w:p>
        </w:tc>
        <w:tc>
          <w:tcPr>
            <w:tcW w:w="2492"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责任单位</w:t>
            </w:r>
          </w:p>
        </w:tc>
      </w:tr>
      <w:tr w:rsidR="00DB1878" w:rsidRPr="00834794" w:rsidTr="00171DCB">
        <w:trPr>
          <w:trHeight w:val="3129"/>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持续推进重大决策预公开，涉及公共利益和公众权益的重大事项，除依法应当保密的外，要主动向社会公布决策草案、决策依据等，通过听证座谈、网络征集、咨询协商、媒体沟通等多种形式，广泛听取意见，意见收集、采纳情况也要予以公布。重大行政决策执行实施情况，要及时收集利益相关方和公众对决策实施的意见和建议，适时开展决策执行效果评估和调整完善，并将相关情况向社会公开。</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sz w:val="24"/>
                <w:szCs w:val="24"/>
              </w:rPr>
              <w:t>重大决策起草部门</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2</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围绕</w:t>
            </w:r>
            <w:r w:rsidRPr="00834794">
              <w:rPr>
                <w:rFonts w:ascii="仿宋_GB2312" w:eastAsia="仿宋_GB2312" w:hAnsi="宋体" w:cs="宋体"/>
                <w:kern w:val="0"/>
                <w:sz w:val="24"/>
                <w:szCs w:val="24"/>
              </w:rPr>
              <w:t>2019</w:t>
            </w:r>
            <w:r w:rsidRPr="00834794">
              <w:rPr>
                <w:rFonts w:ascii="仿宋_GB2312" w:eastAsia="仿宋_GB2312" w:hAnsi="宋体" w:cs="宋体" w:hint="eastAsia"/>
                <w:kern w:val="0"/>
                <w:sz w:val="24"/>
                <w:szCs w:val="24"/>
              </w:rPr>
              <w:t>年县政府工作报告和“创新破难奋进年”目标要求，加大稳增长、增动能、优环境、惠民生、防风险系列政策措施的执行和落实情况公开力度。加强巡查、督查和审计发现问题整改落实、问责情况公开。</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各有关单位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3</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按照“谁起草谁解读”原则，切实做到政策性文件与解读方案、解读材料同步组织、同步审签、同步部署。开展常务会议重要议题、文件图解、解读工作。县政府常务会议审议的政策文件，原则上均需解读。各单位的规范性文件发布后必须进行图解、解读。</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政策起草部门</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4</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健全政务舆情收集、会商、研判、回应、督办、评估的闭环工作机制。对出台的重大改革措施、涉及群众切身利益、容易引发社会关注的政策文件，牵头起草部门要跟踪、评估政策实施进展情况，加强宣传和引导。</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政策牵头起草部门</w:t>
            </w:r>
          </w:p>
        </w:tc>
      </w:tr>
      <w:tr w:rsidR="00DB1878" w:rsidRPr="00834794" w:rsidTr="00171DCB">
        <w:trPr>
          <w:trHeight w:val="567"/>
        </w:trPr>
        <w:tc>
          <w:tcPr>
            <w:tcW w:w="616" w:type="dxa"/>
            <w:tcBorders>
              <w:bottom w:val="single" w:sz="8" w:space="0" w:color="auto"/>
            </w:tcBorders>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5</w:t>
            </w:r>
          </w:p>
        </w:tc>
        <w:tc>
          <w:tcPr>
            <w:tcW w:w="5767" w:type="dxa"/>
            <w:tcBorders>
              <w:bottom w:val="single" w:sz="8" w:space="0" w:color="auto"/>
            </w:tcBorders>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加强人民群众关心的堵点痛点问题分析及重大突发事件舆情风险源头研判，主动与宣传、网信等相关部门联系沟通，完善重大政务舆情信息共享、协同联动、快速反应机制，切实防范重大舆情事故的发生。</w:t>
            </w:r>
          </w:p>
        </w:tc>
        <w:tc>
          <w:tcPr>
            <w:tcW w:w="2492" w:type="dxa"/>
            <w:tcBorders>
              <w:bottom w:val="single" w:sz="8" w:space="0" w:color="auto"/>
            </w:tcBorders>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bl>
    <w:p w:rsidR="00DB1878" w:rsidRPr="00834794" w:rsidRDefault="00DB1878" w:rsidP="000C5E62">
      <w:pPr>
        <w:widowControl/>
        <w:shd w:val="clear" w:color="auto" w:fill="FFFFFF"/>
        <w:spacing w:line="590" w:lineRule="exact"/>
        <w:jc w:val="center"/>
        <w:rPr>
          <w:rFonts w:ascii="Times New Roman" w:eastAsia="创艺简标宋" w:hAnsi="Times New Roman" w:cs="Times New Roman"/>
        </w:rPr>
        <w:sectPr w:rsidR="00DB1878" w:rsidRPr="00834794" w:rsidSect="003251D7">
          <w:footerReference w:type="even" r:id="rId6"/>
          <w:footerReference w:type="default" r:id="rId7"/>
          <w:pgSz w:w="11906" w:h="16838" w:code="9"/>
          <w:pgMar w:top="1985" w:right="1531" w:bottom="1531" w:left="1531" w:header="851" w:footer="1531" w:gutter="0"/>
          <w:cols w:space="425"/>
          <w:titlePg/>
          <w:docGrid w:type="lines" w:linePitch="312"/>
        </w:sectPr>
      </w:pPr>
    </w:p>
    <w:p w:rsidR="00DB1878" w:rsidRPr="00834794" w:rsidRDefault="00DB1878" w:rsidP="00171DCB">
      <w:pPr>
        <w:widowControl/>
        <w:shd w:val="clear" w:color="auto" w:fill="FFFFFF"/>
        <w:spacing w:line="200" w:lineRule="exact"/>
        <w:jc w:val="center"/>
        <w:rPr>
          <w:rFonts w:ascii="Times New Roman" w:eastAsia="创艺简标宋" w:hAnsi="Times New Roman" w:cs="Times New Roman"/>
        </w:rPr>
      </w:pPr>
    </w:p>
    <w:tbl>
      <w:tblPr>
        <w:tblW w:w="887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616"/>
        <w:gridCol w:w="5767"/>
        <w:gridCol w:w="2492"/>
      </w:tblGrid>
      <w:tr w:rsidR="00DB1878" w:rsidRPr="00834794" w:rsidTr="00171DCB">
        <w:trPr>
          <w:trHeight w:val="567"/>
          <w:tblHeader/>
        </w:trPr>
        <w:tc>
          <w:tcPr>
            <w:tcW w:w="616"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序号</w:t>
            </w:r>
          </w:p>
        </w:tc>
        <w:tc>
          <w:tcPr>
            <w:tcW w:w="5767"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工作任务</w:t>
            </w:r>
          </w:p>
        </w:tc>
        <w:tc>
          <w:tcPr>
            <w:tcW w:w="2492"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责任单位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6</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深化重大建设项目信息公开，重点公开批准服务信息、批准结果信息、招标投标信息、征收土地信息、重大设计变更信息、施工进度信息、质量安全监督信息、竣工备案信息等</w:t>
            </w:r>
            <w:r w:rsidRPr="00834794">
              <w:rPr>
                <w:rFonts w:ascii="仿宋_GB2312" w:eastAsia="仿宋_GB2312" w:hAnsi="宋体" w:cs="宋体"/>
                <w:kern w:val="0"/>
                <w:sz w:val="24"/>
                <w:szCs w:val="24"/>
              </w:rPr>
              <w:t>8</w:t>
            </w:r>
            <w:r w:rsidRPr="00834794">
              <w:rPr>
                <w:rFonts w:ascii="仿宋_GB2312" w:eastAsia="仿宋_GB2312" w:hAnsi="宋体" w:cs="宋体" w:hint="eastAsia"/>
                <w:kern w:val="0"/>
                <w:sz w:val="24"/>
                <w:szCs w:val="24"/>
              </w:rPr>
              <w:t>类信息。</w:t>
            </w:r>
          </w:p>
        </w:tc>
        <w:tc>
          <w:tcPr>
            <w:tcW w:w="2492" w:type="dxa"/>
            <w:vAlign w:val="center"/>
          </w:tcPr>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县发改局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县自然资源规划局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县住建局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县交通局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县综合执法局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市生态环境局宁海分局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县农业农村局等</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sz w:val="24"/>
                <w:szCs w:val="24"/>
              </w:rPr>
              <w:t>7</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深化公共资源配置领域政府信息公开，重点公开保障性安居工程建设、保障性住房分配、国有土地使用权出让、政府采购、国有产权交易、工程建设项目招标投标等。</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县住建局</w:t>
            </w:r>
          </w:p>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县自然资源规划局</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审管办</w:t>
            </w:r>
            <w:r w:rsidRPr="00834794">
              <w:rPr>
                <w:rFonts w:ascii="仿宋_GB2312" w:eastAsia="仿宋_GB2312" w:hAnsi="宋体" w:cs="宋体" w:hint="eastAsia"/>
                <w:sz w:val="24"/>
                <w:szCs w:val="24"/>
              </w:rPr>
              <w:t>等</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sz w:val="24"/>
                <w:szCs w:val="24"/>
              </w:rPr>
              <w:t>8</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深化公益事业信息公开，重点公开就业创业、社会救助</w:t>
            </w:r>
            <w:r w:rsidRPr="00834794">
              <w:rPr>
                <w:rFonts w:ascii="仿宋_GB2312" w:eastAsia="仿宋_GB2312" w:hAnsi="宋体" w:cs="宋体" w:hint="eastAsia"/>
                <w:spacing w:val="-6"/>
                <w:kern w:val="0"/>
                <w:sz w:val="24"/>
                <w:szCs w:val="24"/>
              </w:rPr>
              <w:t>和社会福利、养老服务、教育、基本医疗卫生、食品药品</w:t>
            </w:r>
            <w:r w:rsidRPr="00834794">
              <w:rPr>
                <w:rFonts w:ascii="仿宋_GB2312" w:eastAsia="仿宋_GB2312" w:hAnsi="宋体" w:cs="宋体" w:hint="eastAsia"/>
                <w:kern w:val="0"/>
                <w:sz w:val="24"/>
                <w:szCs w:val="24"/>
              </w:rPr>
              <w:t>安全、安全生产、灾害事故救援、公共文化体育等内容。</w:t>
            </w:r>
          </w:p>
        </w:tc>
        <w:tc>
          <w:tcPr>
            <w:tcW w:w="2492" w:type="dxa"/>
            <w:vAlign w:val="center"/>
          </w:tcPr>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县人力社保局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县民政局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县教育局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县卫生健康局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县市场监管局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县应急管理局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县农业农村局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县文广旅游局</w:t>
            </w:r>
          </w:p>
          <w:p w:rsidR="00DB1878" w:rsidRPr="00834794" w:rsidRDefault="00DB1878" w:rsidP="00171DCB">
            <w:pPr>
              <w:spacing w:line="360" w:lineRule="exact"/>
              <w:jc w:val="center"/>
              <w:rPr>
                <w:rFonts w:ascii="仿宋_GB2312" w:eastAsia="仿宋_GB2312" w:hAnsi="宋体" w:cs="宋体"/>
                <w:kern w:val="0"/>
                <w:sz w:val="24"/>
                <w:szCs w:val="24"/>
                <w:highlight w:val="yellow"/>
              </w:rPr>
            </w:pPr>
            <w:r w:rsidRPr="00834794">
              <w:rPr>
                <w:rFonts w:ascii="仿宋_GB2312" w:eastAsia="仿宋_GB2312" w:hAnsi="宋体" w:cs="宋体" w:hint="eastAsia"/>
                <w:kern w:val="0"/>
                <w:sz w:val="24"/>
                <w:szCs w:val="24"/>
              </w:rPr>
              <w:t>县体育发展中心等</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sz w:val="24"/>
                <w:szCs w:val="24"/>
              </w:rPr>
              <w:t>9</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围绕着力缓解企业融资难融资贵问题、加快推进金融改革开放、稳妥处理地方政府债务风险等方面，及时依法公开相关信息。</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县金融办</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县经信局</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县财政局等</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sz w:val="24"/>
                <w:szCs w:val="24"/>
              </w:rPr>
              <w:t>10</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围绕精准扶贫，重点做好相关政策举措、扶贫项目、财政专项扶贫资金、精准扶贫贷款、行业扶贫相关财政资金、对口帮扶财政援助资金等信息公开工作。</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县农业农村局</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县财政局等</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sz w:val="24"/>
                <w:szCs w:val="24"/>
              </w:rPr>
              <w:t>11</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加快治理黑臭水体、防治农业面源污染、推进重点流域和近岸海域综合整治、加强固体废弃物和城市垃圾分类处置等信息公开。</w:t>
            </w:r>
          </w:p>
        </w:tc>
        <w:tc>
          <w:tcPr>
            <w:tcW w:w="2492" w:type="dxa"/>
            <w:vAlign w:val="center"/>
          </w:tcPr>
          <w:p w:rsidR="00DB1878" w:rsidRPr="00834794" w:rsidRDefault="00DB1878" w:rsidP="00171DCB">
            <w:pPr>
              <w:spacing w:line="37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市生态环境局宁海分局</w:t>
            </w:r>
          </w:p>
          <w:p w:rsidR="00DB1878" w:rsidRPr="00834794" w:rsidRDefault="00DB1878" w:rsidP="00171DCB">
            <w:pPr>
              <w:spacing w:line="37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县农业农村局</w:t>
            </w:r>
          </w:p>
          <w:p w:rsidR="00DB1878" w:rsidRPr="00834794" w:rsidRDefault="00DB1878" w:rsidP="00171DCB">
            <w:pPr>
              <w:spacing w:line="37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县综合执法局等</w:t>
            </w:r>
          </w:p>
        </w:tc>
      </w:tr>
      <w:tr w:rsidR="00DB1878" w:rsidRPr="00834794" w:rsidTr="00171DCB">
        <w:trPr>
          <w:trHeight w:val="1611"/>
        </w:trPr>
        <w:tc>
          <w:tcPr>
            <w:tcW w:w="616" w:type="dxa"/>
            <w:tcBorders>
              <w:bottom w:val="single" w:sz="8" w:space="0" w:color="auto"/>
            </w:tcBorders>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12</w:t>
            </w:r>
          </w:p>
        </w:tc>
        <w:tc>
          <w:tcPr>
            <w:tcW w:w="5767" w:type="dxa"/>
            <w:tcBorders>
              <w:bottom w:val="single" w:sz="8" w:space="0" w:color="auto"/>
            </w:tcBorders>
            <w:vAlign w:val="center"/>
          </w:tcPr>
          <w:p w:rsidR="00DB1878" w:rsidRPr="00834794" w:rsidRDefault="00DB1878" w:rsidP="00805B76">
            <w:pPr>
              <w:spacing w:line="38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围绕“最多跑一次”改革，着力做好减税降费、“证照分离”改革、压缩企业开办时间、优化企业注销办理流程、压减行政许可、市场准入负面清单动态调整、清理规范基层各类涉企乱收费项目。</w:t>
            </w:r>
          </w:p>
        </w:tc>
        <w:tc>
          <w:tcPr>
            <w:tcW w:w="2492" w:type="dxa"/>
            <w:tcBorders>
              <w:bottom w:val="single" w:sz="8" w:space="0" w:color="auto"/>
            </w:tcBorders>
            <w:vAlign w:val="center"/>
          </w:tcPr>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县审管办</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县市场监管局</w:t>
            </w:r>
          </w:p>
          <w:p w:rsidR="00DB1878" w:rsidRPr="00834794" w:rsidRDefault="00DB1878" w:rsidP="00171DCB">
            <w:pPr>
              <w:spacing w:line="36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县发改局</w:t>
            </w:r>
          </w:p>
          <w:p w:rsidR="00DB1878" w:rsidRPr="00834794" w:rsidRDefault="00DB1878" w:rsidP="00171DCB">
            <w:pPr>
              <w:spacing w:line="360" w:lineRule="exact"/>
              <w:jc w:val="center"/>
              <w:rPr>
                <w:rFonts w:ascii="仿宋_GB2312" w:eastAsia="仿宋_GB2312" w:hAnsi="宋体" w:cs="宋体"/>
                <w:spacing w:val="-16"/>
                <w:w w:val="90"/>
                <w:kern w:val="0"/>
                <w:sz w:val="24"/>
                <w:szCs w:val="24"/>
              </w:rPr>
            </w:pPr>
            <w:r w:rsidRPr="00834794">
              <w:rPr>
                <w:rFonts w:ascii="仿宋_GB2312" w:eastAsia="仿宋_GB2312" w:hAnsi="宋体" w:cs="宋体" w:hint="eastAsia"/>
                <w:spacing w:val="-16"/>
                <w:w w:val="90"/>
                <w:kern w:val="0"/>
                <w:sz w:val="24"/>
                <w:szCs w:val="24"/>
              </w:rPr>
              <w:t>国家税务总局宁海县税务局等</w:t>
            </w:r>
          </w:p>
        </w:tc>
      </w:tr>
    </w:tbl>
    <w:p w:rsidR="00DB1878" w:rsidRPr="00834794" w:rsidRDefault="00DB1878" w:rsidP="00171DCB">
      <w:pPr>
        <w:widowControl/>
        <w:shd w:val="clear" w:color="auto" w:fill="FFFFFF"/>
        <w:spacing w:line="200" w:lineRule="exact"/>
        <w:jc w:val="center"/>
        <w:rPr>
          <w:rFonts w:ascii="Times New Roman" w:eastAsia="创艺简标宋" w:hAnsi="Times New Roman" w:cs="Times New Roman"/>
        </w:rPr>
        <w:sectPr w:rsidR="00DB1878" w:rsidRPr="00834794" w:rsidSect="000C5E62">
          <w:footerReference w:type="default" r:id="rId8"/>
          <w:pgSz w:w="11906" w:h="16838" w:code="9"/>
          <w:pgMar w:top="1985" w:right="1531" w:bottom="1531" w:left="1531" w:header="851" w:footer="1531" w:gutter="0"/>
          <w:cols w:space="425"/>
          <w:docGrid w:type="lines" w:linePitch="312"/>
        </w:sectPr>
      </w:pPr>
    </w:p>
    <w:p w:rsidR="00DB1878" w:rsidRPr="00834794" w:rsidRDefault="00DB1878" w:rsidP="00171DCB">
      <w:pPr>
        <w:widowControl/>
        <w:shd w:val="clear" w:color="auto" w:fill="FFFFFF"/>
        <w:spacing w:line="200" w:lineRule="exact"/>
        <w:jc w:val="center"/>
        <w:rPr>
          <w:rFonts w:ascii="Times New Roman" w:eastAsia="创艺简标宋" w:hAnsi="Times New Roman" w:cs="Times New Roman"/>
        </w:rPr>
      </w:pPr>
    </w:p>
    <w:tbl>
      <w:tblPr>
        <w:tblW w:w="887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616"/>
        <w:gridCol w:w="5767"/>
        <w:gridCol w:w="2492"/>
      </w:tblGrid>
      <w:tr w:rsidR="00DB1878" w:rsidRPr="00834794" w:rsidTr="00171DCB">
        <w:trPr>
          <w:trHeight w:val="567"/>
          <w:tblHeader/>
        </w:trPr>
        <w:tc>
          <w:tcPr>
            <w:tcW w:w="616"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序号</w:t>
            </w:r>
          </w:p>
        </w:tc>
        <w:tc>
          <w:tcPr>
            <w:tcW w:w="5767"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工作任务</w:t>
            </w:r>
          </w:p>
        </w:tc>
        <w:tc>
          <w:tcPr>
            <w:tcW w:w="2492" w:type="dxa"/>
            <w:tcBorders>
              <w:top w:val="single" w:sz="8" w:space="0" w:color="auto"/>
            </w:tcBorders>
            <w:vAlign w:val="center"/>
          </w:tcPr>
          <w:p w:rsidR="00DB1878" w:rsidRPr="00834794" w:rsidRDefault="00DB1878" w:rsidP="00953DF1">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责任单位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13</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将“双随机、一公开”监管处置结果全部通过国家企业信用信息公示系统和“信用中国”网站公开。</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县市场监管局等</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各有关执法单位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14</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推进市场主体和个人“全生命周期”的办事服务事项集成式、一站式公开。</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县审管办等</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sz w:val="24"/>
                <w:szCs w:val="24"/>
              </w:rPr>
              <w:t>15</w:t>
            </w:r>
          </w:p>
        </w:tc>
        <w:tc>
          <w:tcPr>
            <w:tcW w:w="5767" w:type="dxa"/>
            <w:vAlign w:val="center"/>
          </w:tcPr>
          <w:p w:rsidR="00DB1878" w:rsidRPr="00834794" w:rsidRDefault="00DB1878" w:rsidP="00805B76">
            <w:pPr>
              <w:spacing w:line="37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推进行政执法信息公开，按照“谁执法谁公示”原则，严格落实行政执法公示制度，规范行政执法行为，集中向社会依法公开行政执法职责、执法依据、执法程序、监督途径和执法结果等信息。</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sz w:val="24"/>
                <w:szCs w:val="24"/>
              </w:rPr>
              <w:t>县司法局等</w:t>
            </w:r>
          </w:p>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sz w:val="24"/>
                <w:szCs w:val="24"/>
              </w:rPr>
              <w:t>各有关执法单位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16</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及时公开预决算、“三公”经费等财政信息，加快项目文本和绩效目标公开进度，推进政府债务信息公开。</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县财政局等</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17</w:t>
            </w:r>
          </w:p>
        </w:tc>
        <w:tc>
          <w:tcPr>
            <w:tcW w:w="5767" w:type="dxa"/>
            <w:vAlign w:val="center"/>
          </w:tcPr>
          <w:p w:rsidR="00DB1878" w:rsidRPr="00834794" w:rsidRDefault="00DB1878" w:rsidP="00805B76">
            <w:pPr>
              <w:spacing w:line="37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继续加强信息公开平台和县政府网站日常监测和常态化监管，加大栏目更新、格式规范等指标检查频次，加强存在问题通报力度，积极引进第三方机构对各单位政务公开质量和效果进行评估并作为考核重要依据，推动政府网站优质规范发展。</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县政府办公室</w:t>
            </w:r>
          </w:p>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县大数据中心</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18</w:t>
            </w:r>
          </w:p>
        </w:tc>
        <w:tc>
          <w:tcPr>
            <w:tcW w:w="5767" w:type="dxa"/>
            <w:vAlign w:val="center"/>
          </w:tcPr>
          <w:p w:rsidR="00DB1878" w:rsidRPr="00834794" w:rsidRDefault="00DB1878" w:rsidP="00805B76">
            <w:pPr>
              <w:spacing w:line="37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平稳做好机构改革后政府网站新建、整合、改版、迁移等工作。抓紧完成政府网站域名集中清理，落实县政府门户网站</w:t>
            </w:r>
            <w:r w:rsidRPr="00834794">
              <w:rPr>
                <w:rFonts w:ascii="仿宋_GB2312" w:eastAsia="仿宋_GB2312" w:hAnsi="宋体" w:cs="宋体"/>
                <w:kern w:val="0"/>
                <w:sz w:val="24"/>
                <w:szCs w:val="24"/>
              </w:rPr>
              <w:t>IPv6</w:t>
            </w:r>
            <w:r w:rsidRPr="00834794">
              <w:rPr>
                <w:rFonts w:ascii="仿宋_GB2312" w:eastAsia="仿宋_GB2312" w:hAnsi="宋体" w:cs="宋体" w:hint="eastAsia"/>
                <w:kern w:val="0"/>
                <w:sz w:val="24"/>
                <w:szCs w:val="24"/>
              </w:rPr>
              <w:t>（互联网协议第</w:t>
            </w:r>
            <w:r w:rsidRPr="00834794">
              <w:rPr>
                <w:rFonts w:ascii="仿宋_GB2312" w:eastAsia="仿宋_GB2312" w:hAnsi="宋体" w:cs="宋体"/>
                <w:kern w:val="0"/>
                <w:sz w:val="24"/>
                <w:szCs w:val="24"/>
              </w:rPr>
              <w:t>6</w:t>
            </w:r>
            <w:r w:rsidRPr="00834794">
              <w:rPr>
                <w:rFonts w:ascii="仿宋_GB2312" w:eastAsia="仿宋_GB2312" w:hAnsi="宋体" w:cs="宋体" w:hint="eastAsia"/>
                <w:kern w:val="0"/>
                <w:sz w:val="24"/>
                <w:szCs w:val="24"/>
              </w:rPr>
              <w:t>版）改造工作。</w:t>
            </w:r>
          </w:p>
        </w:tc>
        <w:tc>
          <w:tcPr>
            <w:tcW w:w="2492"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县大数据中心</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19</w:t>
            </w:r>
          </w:p>
        </w:tc>
        <w:tc>
          <w:tcPr>
            <w:tcW w:w="5767" w:type="dxa"/>
            <w:vAlign w:val="center"/>
          </w:tcPr>
          <w:p w:rsidR="00DB1878" w:rsidRPr="00834794" w:rsidRDefault="00DB1878" w:rsidP="00805B76">
            <w:pPr>
              <w:spacing w:line="37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理顺政务新媒体管理机制，建立健全相关工作制度，做好开设整合、内容保障、安全防护、监督管理等工作。统筹推进政务新媒体与政府网站的协同联动、融合发</w:t>
            </w:r>
            <w:r w:rsidRPr="00834794">
              <w:rPr>
                <w:rFonts w:ascii="仿宋_GB2312" w:eastAsia="仿宋_GB2312" w:hAnsi="宋体" w:cs="宋体" w:hint="eastAsia"/>
                <w:spacing w:val="-6"/>
                <w:kern w:val="0"/>
                <w:sz w:val="24"/>
                <w:szCs w:val="24"/>
              </w:rPr>
              <w:t>展，加强政务新媒体与本地融媒体中心的沟通协调，提升</w:t>
            </w:r>
            <w:r w:rsidRPr="00834794">
              <w:rPr>
                <w:rFonts w:ascii="仿宋_GB2312" w:eastAsia="仿宋_GB2312" w:hAnsi="宋体" w:cs="宋体" w:hint="eastAsia"/>
                <w:kern w:val="0"/>
                <w:sz w:val="24"/>
                <w:szCs w:val="24"/>
              </w:rPr>
              <w:t>信息发布、解读回应、政民互动、办事服务的整体水平。</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县政府办公室</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县大数据中心</w:t>
            </w:r>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宁海传媒集团</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20</w:t>
            </w:r>
          </w:p>
        </w:tc>
        <w:tc>
          <w:tcPr>
            <w:tcW w:w="5767" w:type="dxa"/>
            <w:vAlign w:val="center"/>
          </w:tcPr>
          <w:p w:rsidR="00DB1878" w:rsidRPr="00834794" w:rsidRDefault="00DB1878" w:rsidP="00805B76">
            <w:pPr>
              <w:spacing w:line="37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加快办事大厅线上线下融合发展，进一步整合优化实体办事大厅“一站式”功能，加快实现“一个窗口”“一次办理”。推动更多服务事项“一网通办”。</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县审管办等</w:t>
            </w:r>
            <w:bookmarkStart w:id="0" w:name="_GoBack"/>
            <w:bookmarkEnd w:id="0"/>
          </w:p>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r w:rsidR="00DB1878" w:rsidRPr="00834794" w:rsidTr="00171DCB">
        <w:trPr>
          <w:trHeight w:val="567"/>
        </w:trPr>
        <w:tc>
          <w:tcPr>
            <w:tcW w:w="616" w:type="dxa"/>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21</w:t>
            </w:r>
          </w:p>
        </w:tc>
        <w:tc>
          <w:tcPr>
            <w:tcW w:w="5767" w:type="dxa"/>
            <w:vAlign w:val="center"/>
          </w:tcPr>
          <w:p w:rsidR="00DB1878" w:rsidRPr="00834794" w:rsidRDefault="00DB1878" w:rsidP="00805B76">
            <w:pPr>
              <w:spacing w:line="37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各单位要高度重视政务公开工作，进一步理顺和完善领导体制、工作机制。根据政务公开新任务新要求新职责，加强政务公开机构建设、专职人员配备和经费保障。</w:t>
            </w:r>
          </w:p>
        </w:tc>
        <w:tc>
          <w:tcPr>
            <w:tcW w:w="2492" w:type="dxa"/>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r w:rsidR="00DB1878" w:rsidRPr="00834794" w:rsidTr="00171DCB">
        <w:trPr>
          <w:trHeight w:val="567"/>
        </w:trPr>
        <w:tc>
          <w:tcPr>
            <w:tcW w:w="616" w:type="dxa"/>
            <w:tcBorders>
              <w:bottom w:val="single" w:sz="8" w:space="0" w:color="auto"/>
            </w:tcBorders>
            <w:vAlign w:val="center"/>
          </w:tcPr>
          <w:p w:rsidR="00DB1878" w:rsidRPr="00834794" w:rsidRDefault="00DB1878" w:rsidP="00953DF1">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22</w:t>
            </w:r>
          </w:p>
        </w:tc>
        <w:tc>
          <w:tcPr>
            <w:tcW w:w="5767" w:type="dxa"/>
            <w:tcBorders>
              <w:bottom w:val="single" w:sz="8" w:space="0" w:color="auto"/>
            </w:tcBorders>
            <w:vAlign w:val="center"/>
          </w:tcPr>
          <w:p w:rsidR="00DB1878" w:rsidRPr="00834794" w:rsidRDefault="00DB1878" w:rsidP="00805B76">
            <w:pPr>
              <w:spacing w:line="370" w:lineRule="exact"/>
              <w:ind w:leftChars="25" w:left="53" w:rightChars="25" w:right="53"/>
              <w:rPr>
                <w:rFonts w:ascii="仿宋_GB2312" w:eastAsia="仿宋_GB2312" w:hAnsi="宋体" w:cs="宋体"/>
                <w:sz w:val="24"/>
                <w:szCs w:val="24"/>
              </w:rPr>
            </w:pPr>
            <w:r w:rsidRPr="00834794">
              <w:rPr>
                <w:rFonts w:ascii="仿宋_GB2312" w:eastAsia="仿宋_GB2312" w:hAnsi="宋体" w:cs="宋体" w:hint="eastAsia"/>
                <w:kern w:val="0"/>
                <w:sz w:val="24"/>
                <w:szCs w:val="24"/>
              </w:rPr>
              <w:t>及时总结本单位政务公开创新做法和举措，将先进经验、特色亮点及时上报县政府办公室，一经上级录用，年底考核进行相应加分。</w:t>
            </w:r>
          </w:p>
        </w:tc>
        <w:tc>
          <w:tcPr>
            <w:tcW w:w="2492" w:type="dxa"/>
            <w:tcBorders>
              <w:bottom w:val="single" w:sz="8" w:space="0" w:color="auto"/>
            </w:tcBorders>
            <w:vAlign w:val="center"/>
          </w:tcPr>
          <w:p w:rsidR="00DB1878" w:rsidRPr="00834794" w:rsidRDefault="00DB1878" w:rsidP="00953DF1">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各有关单位</w:t>
            </w:r>
          </w:p>
        </w:tc>
      </w:tr>
    </w:tbl>
    <w:p w:rsidR="00DB1878" w:rsidRPr="00834794" w:rsidRDefault="00DB1878" w:rsidP="00171DCB">
      <w:pPr>
        <w:widowControl/>
        <w:shd w:val="clear" w:color="auto" w:fill="FFFFFF"/>
        <w:spacing w:line="200" w:lineRule="exact"/>
        <w:jc w:val="center"/>
        <w:rPr>
          <w:rFonts w:ascii="Times New Roman" w:eastAsia="创艺简标宋" w:hAnsi="Times New Roman" w:cs="Times New Roman"/>
        </w:rPr>
        <w:sectPr w:rsidR="00DB1878" w:rsidRPr="00834794" w:rsidSect="000C5E62">
          <w:pgSz w:w="11906" w:h="16838" w:code="9"/>
          <w:pgMar w:top="1985" w:right="1531" w:bottom="1531" w:left="1531" w:header="851" w:footer="1531" w:gutter="0"/>
          <w:cols w:space="425"/>
          <w:docGrid w:type="lines" w:linePitch="312"/>
        </w:sectPr>
      </w:pPr>
    </w:p>
    <w:p w:rsidR="00DB1878" w:rsidRPr="00834794" w:rsidRDefault="00DB1878" w:rsidP="00171DCB">
      <w:pPr>
        <w:widowControl/>
        <w:shd w:val="clear" w:color="auto" w:fill="FFFFFF"/>
        <w:spacing w:line="200" w:lineRule="exact"/>
        <w:jc w:val="center"/>
        <w:rPr>
          <w:rFonts w:ascii="Times New Roman" w:eastAsia="创艺简标宋" w:hAnsi="Times New Roman" w:cs="Times New Roman"/>
        </w:rPr>
      </w:pPr>
    </w:p>
    <w:tbl>
      <w:tblPr>
        <w:tblW w:w="8875" w:type="dxa"/>
        <w:tblInd w:w="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A0"/>
      </w:tblPr>
      <w:tblGrid>
        <w:gridCol w:w="616"/>
        <w:gridCol w:w="5767"/>
        <w:gridCol w:w="2492"/>
      </w:tblGrid>
      <w:tr w:rsidR="00DB1878" w:rsidRPr="00834794" w:rsidTr="00854D54">
        <w:trPr>
          <w:trHeight w:val="567"/>
          <w:tblHeader/>
        </w:trPr>
        <w:tc>
          <w:tcPr>
            <w:tcW w:w="616" w:type="dxa"/>
            <w:tcBorders>
              <w:top w:val="single" w:sz="8" w:space="0" w:color="auto"/>
            </w:tcBorders>
            <w:vAlign w:val="center"/>
          </w:tcPr>
          <w:p w:rsidR="00DB1878" w:rsidRPr="00834794" w:rsidRDefault="00DB1878" w:rsidP="003251D7">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序号</w:t>
            </w:r>
          </w:p>
        </w:tc>
        <w:tc>
          <w:tcPr>
            <w:tcW w:w="5767" w:type="dxa"/>
            <w:tcBorders>
              <w:top w:val="single" w:sz="8" w:space="0" w:color="auto"/>
            </w:tcBorders>
            <w:vAlign w:val="center"/>
          </w:tcPr>
          <w:p w:rsidR="00DB1878" w:rsidRPr="00834794" w:rsidRDefault="00DB1878" w:rsidP="003251D7">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工作任务</w:t>
            </w:r>
          </w:p>
        </w:tc>
        <w:tc>
          <w:tcPr>
            <w:tcW w:w="2492" w:type="dxa"/>
            <w:tcBorders>
              <w:top w:val="single" w:sz="8" w:space="0" w:color="auto"/>
            </w:tcBorders>
            <w:vAlign w:val="center"/>
          </w:tcPr>
          <w:p w:rsidR="00DB1878" w:rsidRPr="00834794" w:rsidRDefault="00DB1878" w:rsidP="003251D7">
            <w:pPr>
              <w:spacing w:line="380" w:lineRule="exact"/>
              <w:jc w:val="center"/>
              <w:rPr>
                <w:rFonts w:ascii="仿宋_GB2312" w:eastAsia="仿宋_GB2312" w:hAnsi="宋体" w:cs="宋体"/>
                <w:b/>
                <w:sz w:val="24"/>
                <w:szCs w:val="24"/>
              </w:rPr>
            </w:pPr>
            <w:r w:rsidRPr="00834794">
              <w:rPr>
                <w:rFonts w:ascii="仿宋_GB2312" w:eastAsia="仿宋_GB2312" w:hAnsi="宋体" w:cs="宋体" w:hint="eastAsia"/>
                <w:b/>
                <w:kern w:val="0"/>
                <w:sz w:val="24"/>
                <w:szCs w:val="24"/>
              </w:rPr>
              <w:t>责任单位</w:t>
            </w:r>
          </w:p>
        </w:tc>
      </w:tr>
      <w:tr w:rsidR="00DB1878" w:rsidRPr="00834794" w:rsidTr="00854D54">
        <w:trPr>
          <w:trHeight w:val="567"/>
        </w:trPr>
        <w:tc>
          <w:tcPr>
            <w:tcW w:w="616" w:type="dxa"/>
            <w:vAlign w:val="center"/>
          </w:tcPr>
          <w:p w:rsidR="00DB1878" w:rsidRPr="00834794" w:rsidRDefault="00DB1878" w:rsidP="003251D7">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23</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spacing w:val="-4"/>
                <w:kern w:val="0"/>
                <w:sz w:val="24"/>
                <w:szCs w:val="24"/>
              </w:rPr>
              <w:t>2019</w:t>
            </w:r>
            <w:r w:rsidRPr="00834794">
              <w:rPr>
                <w:rFonts w:ascii="仿宋_GB2312" w:eastAsia="仿宋_GB2312" w:hAnsi="宋体" w:cs="宋体" w:hint="eastAsia"/>
                <w:spacing w:val="-4"/>
                <w:kern w:val="0"/>
                <w:sz w:val="24"/>
                <w:szCs w:val="24"/>
              </w:rPr>
              <w:t>年</w:t>
            </w:r>
            <w:r w:rsidRPr="00834794">
              <w:rPr>
                <w:rFonts w:ascii="仿宋_GB2312" w:eastAsia="仿宋_GB2312" w:hAnsi="宋体" w:cs="宋体"/>
                <w:spacing w:val="-4"/>
                <w:kern w:val="0"/>
                <w:sz w:val="24"/>
                <w:szCs w:val="24"/>
              </w:rPr>
              <w:t>7</w:t>
            </w:r>
            <w:r w:rsidRPr="00834794">
              <w:rPr>
                <w:rFonts w:ascii="仿宋_GB2312" w:eastAsia="仿宋_GB2312" w:hAnsi="宋体" w:cs="宋体" w:hint="eastAsia"/>
                <w:spacing w:val="-4"/>
                <w:kern w:val="0"/>
                <w:sz w:val="24"/>
                <w:szCs w:val="24"/>
              </w:rPr>
              <w:t>月底前完成政务公开工作相关制度、公开目录</w:t>
            </w:r>
            <w:r w:rsidRPr="00834794">
              <w:rPr>
                <w:rFonts w:ascii="仿宋_GB2312" w:eastAsia="仿宋_GB2312" w:hAnsi="宋体" w:cs="宋体" w:hint="eastAsia"/>
                <w:kern w:val="0"/>
                <w:sz w:val="24"/>
                <w:szCs w:val="24"/>
              </w:rPr>
              <w:t>指南的重新梳理和修订完善工作，确保信息公开平台上公开的机构概况（包括电话号码）、公开指南等基本信息准确无误。</w:t>
            </w:r>
          </w:p>
        </w:tc>
        <w:tc>
          <w:tcPr>
            <w:tcW w:w="2492" w:type="dxa"/>
            <w:vAlign w:val="center"/>
          </w:tcPr>
          <w:p w:rsidR="00DB1878" w:rsidRPr="00834794" w:rsidRDefault="00DB1878" w:rsidP="003251D7">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r w:rsidR="00DB1878" w:rsidRPr="00834794" w:rsidTr="00854D54">
        <w:trPr>
          <w:trHeight w:val="567"/>
        </w:trPr>
        <w:tc>
          <w:tcPr>
            <w:tcW w:w="616" w:type="dxa"/>
            <w:vAlign w:val="center"/>
          </w:tcPr>
          <w:p w:rsidR="00DB1878" w:rsidRPr="00834794" w:rsidRDefault="00DB1878" w:rsidP="003251D7">
            <w:pPr>
              <w:spacing w:line="380" w:lineRule="exact"/>
              <w:jc w:val="center"/>
              <w:rPr>
                <w:rFonts w:ascii="仿宋_GB2312" w:eastAsia="仿宋_GB2312" w:hAnsi="宋体" w:cs="宋体"/>
                <w:kern w:val="0"/>
                <w:sz w:val="24"/>
                <w:szCs w:val="24"/>
              </w:rPr>
            </w:pPr>
            <w:r w:rsidRPr="00834794">
              <w:rPr>
                <w:rFonts w:ascii="仿宋_GB2312" w:eastAsia="仿宋_GB2312" w:hAnsi="宋体" w:cs="宋体"/>
                <w:kern w:val="0"/>
                <w:sz w:val="24"/>
                <w:szCs w:val="24"/>
              </w:rPr>
              <w:t>24</w:t>
            </w:r>
          </w:p>
        </w:tc>
        <w:tc>
          <w:tcPr>
            <w:tcW w:w="5767" w:type="dxa"/>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建立健全多层次、多渠道的信息沟通机制，开展“</w:t>
            </w:r>
            <w:r w:rsidRPr="00834794">
              <w:rPr>
                <w:rFonts w:ascii="仿宋_GB2312" w:eastAsia="仿宋_GB2312" w:hAnsi="宋体" w:cs="宋体"/>
                <w:kern w:val="0"/>
                <w:sz w:val="24"/>
                <w:szCs w:val="24"/>
              </w:rPr>
              <w:t>3+N+X</w:t>
            </w:r>
            <w:r w:rsidRPr="00834794">
              <w:rPr>
                <w:rFonts w:ascii="仿宋_GB2312" w:eastAsia="仿宋_GB2312" w:hAnsi="宋体" w:cs="宋体" w:hint="eastAsia"/>
                <w:kern w:val="0"/>
                <w:sz w:val="24"/>
                <w:szCs w:val="24"/>
              </w:rPr>
              <w:t>”常态工作机制，各单位要高度重视司法建议，主要负责人亲自研究落实，以依法公开促进依法行政。</w:t>
            </w:r>
          </w:p>
        </w:tc>
        <w:tc>
          <w:tcPr>
            <w:tcW w:w="2492" w:type="dxa"/>
            <w:vAlign w:val="center"/>
          </w:tcPr>
          <w:p w:rsidR="00DB1878" w:rsidRPr="00834794" w:rsidRDefault="00DB1878" w:rsidP="003251D7">
            <w:pPr>
              <w:spacing w:line="380" w:lineRule="exact"/>
              <w:jc w:val="center"/>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各有关单位</w:t>
            </w:r>
          </w:p>
        </w:tc>
      </w:tr>
      <w:tr w:rsidR="00DB1878" w:rsidRPr="00834794" w:rsidTr="00854D54">
        <w:trPr>
          <w:trHeight w:val="567"/>
        </w:trPr>
        <w:tc>
          <w:tcPr>
            <w:tcW w:w="616" w:type="dxa"/>
            <w:tcBorders>
              <w:bottom w:val="single" w:sz="8" w:space="0" w:color="auto"/>
            </w:tcBorders>
            <w:vAlign w:val="center"/>
          </w:tcPr>
          <w:p w:rsidR="00DB1878" w:rsidRPr="00834794" w:rsidRDefault="00DB1878" w:rsidP="003251D7">
            <w:pPr>
              <w:spacing w:line="380" w:lineRule="exact"/>
              <w:jc w:val="center"/>
              <w:rPr>
                <w:rFonts w:ascii="仿宋_GB2312" w:eastAsia="仿宋_GB2312" w:hAnsi="宋体" w:cs="宋体"/>
                <w:sz w:val="24"/>
                <w:szCs w:val="24"/>
              </w:rPr>
            </w:pPr>
            <w:r w:rsidRPr="00834794">
              <w:rPr>
                <w:rFonts w:ascii="仿宋_GB2312" w:eastAsia="仿宋_GB2312" w:hAnsi="宋体" w:cs="宋体"/>
                <w:kern w:val="0"/>
                <w:sz w:val="24"/>
                <w:szCs w:val="24"/>
              </w:rPr>
              <w:t>25</w:t>
            </w:r>
          </w:p>
        </w:tc>
        <w:tc>
          <w:tcPr>
            <w:tcW w:w="5767" w:type="dxa"/>
            <w:tcBorders>
              <w:bottom w:val="single" w:sz="8" w:space="0" w:color="auto"/>
            </w:tcBorders>
            <w:vAlign w:val="center"/>
          </w:tcPr>
          <w:p w:rsidR="00DB1878" w:rsidRPr="00834794" w:rsidRDefault="00DB1878" w:rsidP="00805B76">
            <w:pPr>
              <w:spacing w:line="380" w:lineRule="exact"/>
              <w:ind w:leftChars="25" w:left="53" w:rightChars="25" w:right="53"/>
              <w:rPr>
                <w:rFonts w:ascii="仿宋_GB2312" w:eastAsia="仿宋_GB2312" w:hAnsi="宋体" w:cs="宋体"/>
                <w:kern w:val="0"/>
                <w:sz w:val="24"/>
                <w:szCs w:val="24"/>
              </w:rPr>
            </w:pPr>
            <w:r w:rsidRPr="00834794">
              <w:rPr>
                <w:rFonts w:ascii="仿宋_GB2312" w:eastAsia="仿宋_GB2312" w:hAnsi="宋体" w:cs="宋体" w:hint="eastAsia"/>
                <w:kern w:val="0"/>
                <w:sz w:val="24"/>
                <w:szCs w:val="24"/>
              </w:rPr>
              <w:t>严格落实依申请公开规范办理机制，并加强对疑难问题的理论研究和案例分析。各单位依申请公开答复前，要按规定报县政府办公室政务公开科审查。</w:t>
            </w:r>
          </w:p>
        </w:tc>
        <w:tc>
          <w:tcPr>
            <w:tcW w:w="2492" w:type="dxa"/>
            <w:tcBorders>
              <w:bottom w:val="single" w:sz="8" w:space="0" w:color="auto"/>
            </w:tcBorders>
            <w:vAlign w:val="center"/>
          </w:tcPr>
          <w:p w:rsidR="00DB1878" w:rsidRPr="00834794" w:rsidRDefault="00DB1878" w:rsidP="003251D7">
            <w:pPr>
              <w:spacing w:line="380" w:lineRule="exact"/>
              <w:jc w:val="center"/>
              <w:rPr>
                <w:rFonts w:ascii="仿宋_GB2312" w:eastAsia="仿宋_GB2312" w:hAnsi="宋体" w:cs="宋体"/>
                <w:sz w:val="24"/>
                <w:szCs w:val="24"/>
              </w:rPr>
            </w:pPr>
            <w:r w:rsidRPr="00834794">
              <w:rPr>
                <w:rFonts w:ascii="仿宋_GB2312" w:eastAsia="仿宋_GB2312" w:hAnsi="宋体" w:cs="宋体" w:hint="eastAsia"/>
                <w:kern w:val="0"/>
                <w:sz w:val="24"/>
                <w:szCs w:val="24"/>
              </w:rPr>
              <w:t>各有关单位</w:t>
            </w:r>
          </w:p>
        </w:tc>
      </w:tr>
    </w:tbl>
    <w:p w:rsidR="00DB1878" w:rsidRPr="00834794" w:rsidRDefault="00DB1878" w:rsidP="00501624">
      <w:pPr>
        <w:spacing w:line="560" w:lineRule="exact"/>
        <w:jc w:val="left"/>
        <w:rPr>
          <w:rFonts w:ascii="黑体" w:eastAsia="黑体" w:hAnsi="黑体" w:cs="Times New Roman"/>
          <w:sz w:val="32"/>
          <w:szCs w:val="32"/>
        </w:rPr>
      </w:pPr>
    </w:p>
    <w:p w:rsidR="00DB1878" w:rsidRPr="00834794" w:rsidRDefault="00DB1878" w:rsidP="00501624">
      <w:pPr>
        <w:spacing w:line="560" w:lineRule="exact"/>
        <w:jc w:val="left"/>
        <w:rPr>
          <w:rFonts w:ascii="黑体" w:eastAsia="黑体" w:hAnsi="黑体" w:cs="Times New Roman"/>
          <w:sz w:val="32"/>
          <w:szCs w:val="32"/>
        </w:rPr>
      </w:pPr>
    </w:p>
    <w:p w:rsidR="00DB1878" w:rsidRPr="00834794" w:rsidRDefault="00DB1878" w:rsidP="00501624">
      <w:pPr>
        <w:spacing w:line="560" w:lineRule="exact"/>
        <w:jc w:val="left"/>
        <w:rPr>
          <w:rFonts w:ascii="黑体" w:eastAsia="黑体" w:hAnsi="黑体" w:cs="Times New Roman"/>
          <w:sz w:val="32"/>
          <w:szCs w:val="32"/>
        </w:rPr>
      </w:pPr>
    </w:p>
    <w:p w:rsidR="00DB1878" w:rsidRPr="00834794" w:rsidRDefault="00DB1878"/>
    <w:sectPr w:rsidR="00DB1878" w:rsidRPr="00834794" w:rsidSect="000C5E62">
      <w:pgSz w:w="11906" w:h="16838" w:code="9"/>
      <w:pgMar w:top="1985" w:right="1531" w:bottom="1531" w:left="1531" w:header="851" w:footer="153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79" w:rsidRDefault="003F5679" w:rsidP="00501624">
      <w:r>
        <w:separator/>
      </w:r>
    </w:p>
  </w:endnote>
  <w:endnote w:type="continuationSeparator" w:id="1">
    <w:p w:rsidR="003F5679" w:rsidRDefault="003F5679" w:rsidP="005016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auto"/>
    <w:pitch w:val="variable"/>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8" w:rsidRDefault="00B628EC" w:rsidP="000C5E62">
    <w:pPr>
      <w:pStyle w:val="a4"/>
      <w:framePr w:wrap="around" w:vAnchor="text" w:hAnchor="margin" w:xAlign="center" w:y="1"/>
      <w:rPr>
        <w:rStyle w:val="a6"/>
      </w:rPr>
    </w:pPr>
    <w:r>
      <w:rPr>
        <w:rStyle w:val="a6"/>
      </w:rPr>
      <w:fldChar w:fldCharType="begin"/>
    </w:r>
    <w:r w:rsidR="00DB1878">
      <w:rPr>
        <w:rStyle w:val="a6"/>
      </w:rPr>
      <w:instrText xml:space="preserve">PAGE  </w:instrText>
    </w:r>
    <w:r>
      <w:rPr>
        <w:rStyle w:val="a6"/>
      </w:rPr>
      <w:fldChar w:fldCharType="end"/>
    </w:r>
  </w:p>
  <w:p w:rsidR="00DB1878" w:rsidRDefault="00DB187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8" w:rsidRPr="003251D7" w:rsidRDefault="00B628EC" w:rsidP="003251D7">
    <w:pPr>
      <w:pStyle w:val="a4"/>
      <w:framePr w:wrap="around" w:vAnchor="text" w:hAnchor="margin" w:xAlign="center" w:y="1"/>
      <w:jc w:val="center"/>
      <w:rPr>
        <w:rStyle w:val="a6"/>
        <w:rFonts w:ascii="Times New Roman" w:hAnsi="Times New Roman"/>
        <w:sz w:val="28"/>
        <w:szCs w:val="28"/>
      </w:rPr>
    </w:pPr>
    <w:r w:rsidRPr="003251D7">
      <w:rPr>
        <w:rStyle w:val="a6"/>
        <w:rFonts w:ascii="Times New Roman" w:hAnsi="Times New Roman"/>
        <w:sz w:val="28"/>
        <w:szCs w:val="28"/>
      </w:rPr>
      <w:fldChar w:fldCharType="begin"/>
    </w:r>
    <w:r w:rsidR="00DB1878" w:rsidRPr="003251D7">
      <w:rPr>
        <w:rStyle w:val="a6"/>
        <w:rFonts w:ascii="Times New Roman" w:hAnsi="Times New Roman"/>
        <w:sz w:val="28"/>
        <w:szCs w:val="28"/>
      </w:rPr>
      <w:instrText xml:space="preserve">PAGE  </w:instrText>
    </w:r>
    <w:r w:rsidRPr="003251D7">
      <w:rPr>
        <w:rStyle w:val="a6"/>
        <w:rFonts w:ascii="Times New Roman" w:hAnsi="Times New Roman"/>
        <w:sz w:val="28"/>
        <w:szCs w:val="28"/>
      </w:rPr>
      <w:fldChar w:fldCharType="separate"/>
    </w:r>
    <w:r w:rsidR="00EF6979">
      <w:rPr>
        <w:rStyle w:val="a6"/>
        <w:rFonts w:ascii="Times New Roman" w:hAnsi="Times New Roman"/>
        <w:noProof/>
        <w:sz w:val="28"/>
        <w:szCs w:val="28"/>
      </w:rPr>
      <w:t>2</w:t>
    </w:r>
    <w:r w:rsidRPr="003251D7">
      <w:rPr>
        <w:rStyle w:val="a6"/>
        <w:rFonts w:ascii="Times New Roman" w:hAnsi="Times New Roman"/>
        <w:sz w:val="28"/>
        <w:szCs w:val="28"/>
      </w:rPr>
      <w:fldChar w:fldCharType="end"/>
    </w:r>
  </w:p>
  <w:p w:rsidR="00DB1878" w:rsidRDefault="00DB1878">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878" w:rsidRPr="003251D7" w:rsidRDefault="00B628EC" w:rsidP="000C5E62">
    <w:pPr>
      <w:pStyle w:val="a4"/>
      <w:framePr w:wrap="around" w:vAnchor="text" w:hAnchor="margin" w:xAlign="center" w:y="1"/>
      <w:jc w:val="center"/>
      <w:rPr>
        <w:rStyle w:val="a6"/>
        <w:rFonts w:ascii="Times New Roman" w:hAnsi="Times New Roman"/>
        <w:sz w:val="28"/>
        <w:szCs w:val="28"/>
      </w:rPr>
    </w:pPr>
    <w:r w:rsidRPr="003251D7">
      <w:rPr>
        <w:rStyle w:val="a6"/>
        <w:rFonts w:ascii="Times New Roman" w:hAnsi="Times New Roman"/>
        <w:sz w:val="28"/>
        <w:szCs w:val="28"/>
      </w:rPr>
      <w:fldChar w:fldCharType="begin"/>
    </w:r>
    <w:r w:rsidR="00DB1878" w:rsidRPr="003251D7">
      <w:rPr>
        <w:rStyle w:val="a6"/>
        <w:rFonts w:ascii="Times New Roman" w:hAnsi="Times New Roman"/>
        <w:sz w:val="28"/>
        <w:szCs w:val="28"/>
      </w:rPr>
      <w:instrText xml:space="preserve">PAGE  </w:instrText>
    </w:r>
    <w:r w:rsidRPr="003251D7">
      <w:rPr>
        <w:rStyle w:val="a6"/>
        <w:rFonts w:ascii="Times New Roman" w:hAnsi="Times New Roman"/>
        <w:sz w:val="28"/>
        <w:szCs w:val="28"/>
      </w:rPr>
      <w:fldChar w:fldCharType="separate"/>
    </w:r>
    <w:r w:rsidR="00EF6979">
      <w:rPr>
        <w:rStyle w:val="a6"/>
        <w:rFonts w:ascii="Times New Roman" w:hAnsi="Times New Roman"/>
        <w:noProof/>
        <w:sz w:val="28"/>
        <w:szCs w:val="28"/>
      </w:rPr>
      <w:t>2</w:t>
    </w:r>
    <w:r w:rsidRPr="003251D7">
      <w:rPr>
        <w:rStyle w:val="a6"/>
        <w:rFonts w:ascii="Times New Roman" w:hAnsi="Times New Roman"/>
        <w:sz w:val="28"/>
        <w:szCs w:val="28"/>
      </w:rPr>
      <w:fldChar w:fldCharType="end"/>
    </w:r>
  </w:p>
  <w:p w:rsidR="00DB1878" w:rsidRDefault="00DB18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79" w:rsidRDefault="003F5679" w:rsidP="00501624">
      <w:r>
        <w:separator/>
      </w:r>
    </w:p>
  </w:footnote>
  <w:footnote w:type="continuationSeparator" w:id="1">
    <w:p w:rsidR="003F5679" w:rsidRDefault="003F5679" w:rsidP="005016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0509"/>
    <w:rsid w:val="00002FD4"/>
    <w:rsid w:val="00007EBA"/>
    <w:rsid w:val="00013643"/>
    <w:rsid w:val="000353EE"/>
    <w:rsid w:val="00053047"/>
    <w:rsid w:val="000623FA"/>
    <w:rsid w:val="00071433"/>
    <w:rsid w:val="00077663"/>
    <w:rsid w:val="00096150"/>
    <w:rsid w:val="000C0087"/>
    <w:rsid w:val="000C5E62"/>
    <w:rsid w:val="000C6C57"/>
    <w:rsid w:val="000D6659"/>
    <w:rsid w:val="000E6032"/>
    <w:rsid w:val="000E6210"/>
    <w:rsid w:val="000F1B22"/>
    <w:rsid w:val="00151815"/>
    <w:rsid w:val="001540EC"/>
    <w:rsid w:val="00171DCB"/>
    <w:rsid w:val="00174AA8"/>
    <w:rsid w:val="001833AD"/>
    <w:rsid w:val="001840F4"/>
    <w:rsid w:val="0019433F"/>
    <w:rsid w:val="0019590E"/>
    <w:rsid w:val="001A0E47"/>
    <w:rsid w:val="001B0583"/>
    <w:rsid w:val="001C0A79"/>
    <w:rsid w:val="001D7AA1"/>
    <w:rsid w:val="001E5CAE"/>
    <w:rsid w:val="001F5784"/>
    <w:rsid w:val="001F6927"/>
    <w:rsid w:val="001F709D"/>
    <w:rsid w:val="002040B2"/>
    <w:rsid w:val="00205B5F"/>
    <w:rsid w:val="00225F9A"/>
    <w:rsid w:val="00230C9D"/>
    <w:rsid w:val="00246C92"/>
    <w:rsid w:val="002517A8"/>
    <w:rsid w:val="00254B6B"/>
    <w:rsid w:val="0026199E"/>
    <w:rsid w:val="00261D50"/>
    <w:rsid w:val="00263188"/>
    <w:rsid w:val="00267622"/>
    <w:rsid w:val="00274EE6"/>
    <w:rsid w:val="00275289"/>
    <w:rsid w:val="002929AD"/>
    <w:rsid w:val="002A0509"/>
    <w:rsid w:val="002C1AD1"/>
    <w:rsid w:val="002C60BD"/>
    <w:rsid w:val="002D369B"/>
    <w:rsid w:val="002E0181"/>
    <w:rsid w:val="002E1CAB"/>
    <w:rsid w:val="002E6AF1"/>
    <w:rsid w:val="002F3875"/>
    <w:rsid w:val="002F41FB"/>
    <w:rsid w:val="00300C0D"/>
    <w:rsid w:val="003018BA"/>
    <w:rsid w:val="00302559"/>
    <w:rsid w:val="00312017"/>
    <w:rsid w:val="003128DE"/>
    <w:rsid w:val="00324A9F"/>
    <w:rsid w:val="003251D7"/>
    <w:rsid w:val="0033213B"/>
    <w:rsid w:val="00342057"/>
    <w:rsid w:val="00342528"/>
    <w:rsid w:val="00344B5B"/>
    <w:rsid w:val="003454B0"/>
    <w:rsid w:val="0034760F"/>
    <w:rsid w:val="00350951"/>
    <w:rsid w:val="0035116D"/>
    <w:rsid w:val="003533BA"/>
    <w:rsid w:val="003535D5"/>
    <w:rsid w:val="0035466F"/>
    <w:rsid w:val="0035767C"/>
    <w:rsid w:val="003633A4"/>
    <w:rsid w:val="00365449"/>
    <w:rsid w:val="003749D9"/>
    <w:rsid w:val="0037524B"/>
    <w:rsid w:val="003927BE"/>
    <w:rsid w:val="003A5B0E"/>
    <w:rsid w:val="003C1250"/>
    <w:rsid w:val="003C5EC6"/>
    <w:rsid w:val="003C7B0A"/>
    <w:rsid w:val="003D65EB"/>
    <w:rsid w:val="003E0ED7"/>
    <w:rsid w:val="003E49B2"/>
    <w:rsid w:val="003F1556"/>
    <w:rsid w:val="003F23D5"/>
    <w:rsid w:val="003F38DF"/>
    <w:rsid w:val="003F5679"/>
    <w:rsid w:val="00402F76"/>
    <w:rsid w:val="004247E6"/>
    <w:rsid w:val="00426293"/>
    <w:rsid w:val="00426C91"/>
    <w:rsid w:val="004337E8"/>
    <w:rsid w:val="00483A3B"/>
    <w:rsid w:val="004922CF"/>
    <w:rsid w:val="004937EB"/>
    <w:rsid w:val="004A686A"/>
    <w:rsid w:val="004C24BF"/>
    <w:rsid w:val="004C2A91"/>
    <w:rsid w:val="004C416B"/>
    <w:rsid w:val="004E24FE"/>
    <w:rsid w:val="004E3041"/>
    <w:rsid w:val="004F1614"/>
    <w:rsid w:val="00501624"/>
    <w:rsid w:val="00525219"/>
    <w:rsid w:val="00525310"/>
    <w:rsid w:val="00531602"/>
    <w:rsid w:val="00533FC0"/>
    <w:rsid w:val="00543338"/>
    <w:rsid w:val="00545747"/>
    <w:rsid w:val="00556115"/>
    <w:rsid w:val="005637B6"/>
    <w:rsid w:val="00564760"/>
    <w:rsid w:val="00564EED"/>
    <w:rsid w:val="0057409A"/>
    <w:rsid w:val="00584DAF"/>
    <w:rsid w:val="005B37A2"/>
    <w:rsid w:val="005B4C79"/>
    <w:rsid w:val="005C099C"/>
    <w:rsid w:val="005C1E08"/>
    <w:rsid w:val="005C7641"/>
    <w:rsid w:val="005D0702"/>
    <w:rsid w:val="005D3FFF"/>
    <w:rsid w:val="005E741E"/>
    <w:rsid w:val="0061680A"/>
    <w:rsid w:val="0062435C"/>
    <w:rsid w:val="00632D31"/>
    <w:rsid w:val="0063798C"/>
    <w:rsid w:val="00640328"/>
    <w:rsid w:val="00641618"/>
    <w:rsid w:val="00657D23"/>
    <w:rsid w:val="00657F57"/>
    <w:rsid w:val="00661FBD"/>
    <w:rsid w:val="00664F6B"/>
    <w:rsid w:val="00675351"/>
    <w:rsid w:val="00675857"/>
    <w:rsid w:val="00676F98"/>
    <w:rsid w:val="00684B55"/>
    <w:rsid w:val="00686E39"/>
    <w:rsid w:val="006A4AF0"/>
    <w:rsid w:val="006C516F"/>
    <w:rsid w:val="006C5EF6"/>
    <w:rsid w:val="006C60FD"/>
    <w:rsid w:val="006D7A9F"/>
    <w:rsid w:val="006E60EC"/>
    <w:rsid w:val="0070252D"/>
    <w:rsid w:val="00715FA3"/>
    <w:rsid w:val="00724D1B"/>
    <w:rsid w:val="007268A8"/>
    <w:rsid w:val="00740547"/>
    <w:rsid w:val="00740704"/>
    <w:rsid w:val="00750AFA"/>
    <w:rsid w:val="00750EE7"/>
    <w:rsid w:val="0076659C"/>
    <w:rsid w:val="00766E94"/>
    <w:rsid w:val="00773A70"/>
    <w:rsid w:val="007761B1"/>
    <w:rsid w:val="0077722B"/>
    <w:rsid w:val="00780D39"/>
    <w:rsid w:val="00785E96"/>
    <w:rsid w:val="0078666B"/>
    <w:rsid w:val="007A1352"/>
    <w:rsid w:val="007A14F6"/>
    <w:rsid w:val="007A2994"/>
    <w:rsid w:val="007B1808"/>
    <w:rsid w:val="007C5964"/>
    <w:rsid w:val="007F12C3"/>
    <w:rsid w:val="00801B9C"/>
    <w:rsid w:val="00805B76"/>
    <w:rsid w:val="008120F1"/>
    <w:rsid w:val="008125B7"/>
    <w:rsid w:val="0083052B"/>
    <w:rsid w:val="00833DEC"/>
    <w:rsid w:val="00834794"/>
    <w:rsid w:val="008543AC"/>
    <w:rsid w:val="00854D54"/>
    <w:rsid w:val="00860AD0"/>
    <w:rsid w:val="008620B8"/>
    <w:rsid w:val="008A0E69"/>
    <w:rsid w:val="008B08F0"/>
    <w:rsid w:val="008C2FEC"/>
    <w:rsid w:val="008D29E6"/>
    <w:rsid w:val="008F27FA"/>
    <w:rsid w:val="00903DE5"/>
    <w:rsid w:val="00905B35"/>
    <w:rsid w:val="009105D2"/>
    <w:rsid w:val="00914F55"/>
    <w:rsid w:val="00915188"/>
    <w:rsid w:val="00915E52"/>
    <w:rsid w:val="009160BE"/>
    <w:rsid w:val="00916A8C"/>
    <w:rsid w:val="00916D0C"/>
    <w:rsid w:val="009229F4"/>
    <w:rsid w:val="00931794"/>
    <w:rsid w:val="00931E52"/>
    <w:rsid w:val="00932586"/>
    <w:rsid w:val="00933E6B"/>
    <w:rsid w:val="009415E4"/>
    <w:rsid w:val="00943979"/>
    <w:rsid w:val="00945E72"/>
    <w:rsid w:val="00953DF1"/>
    <w:rsid w:val="009644B9"/>
    <w:rsid w:val="00985316"/>
    <w:rsid w:val="009A73A0"/>
    <w:rsid w:val="009A73C0"/>
    <w:rsid w:val="009C2C31"/>
    <w:rsid w:val="009C458A"/>
    <w:rsid w:val="009C68A5"/>
    <w:rsid w:val="009C7808"/>
    <w:rsid w:val="009D3A04"/>
    <w:rsid w:val="009E506D"/>
    <w:rsid w:val="00A07B7F"/>
    <w:rsid w:val="00A109E5"/>
    <w:rsid w:val="00A236A0"/>
    <w:rsid w:val="00A420D1"/>
    <w:rsid w:val="00A5193E"/>
    <w:rsid w:val="00A5548A"/>
    <w:rsid w:val="00A74178"/>
    <w:rsid w:val="00A814A4"/>
    <w:rsid w:val="00A9137D"/>
    <w:rsid w:val="00A968E9"/>
    <w:rsid w:val="00AA4C40"/>
    <w:rsid w:val="00AC63C5"/>
    <w:rsid w:val="00AD1C1D"/>
    <w:rsid w:val="00AE36CC"/>
    <w:rsid w:val="00AE69EC"/>
    <w:rsid w:val="00AE702C"/>
    <w:rsid w:val="00AF1B50"/>
    <w:rsid w:val="00AF45D8"/>
    <w:rsid w:val="00AF6FC7"/>
    <w:rsid w:val="00B002E7"/>
    <w:rsid w:val="00B0633C"/>
    <w:rsid w:val="00B11152"/>
    <w:rsid w:val="00B13A64"/>
    <w:rsid w:val="00B34202"/>
    <w:rsid w:val="00B3513D"/>
    <w:rsid w:val="00B36105"/>
    <w:rsid w:val="00B43D3B"/>
    <w:rsid w:val="00B45F65"/>
    <w:rsid w:val="00B478A9"/>
    <w:rsid w:val="00B53A6C"/>
    <w:rsid w:val="00B5475C"/>
    <w:rsid w:val="00B628EC"/>
    <w:rsid w:val="00B676A8"/>
    <w:rsid w:val="00B70CBC"/>
    <w:rsid w:val="00B757F2"/>
    <w:rsid w:val="00B94421"/>
    <w:rsid w:val="00B97753"/>
    <w:rsid w:val="00BA2A66"/>
    <w:rsid w:val="00BF5C97"/>
    <w:rsid w:val="00C22AE2"/>
    <w:rsid w:val="00C26A4A"/>
    <w:rsid w:val="00C31F7D"/>
    <w:rsid w:val="00C328EA"/>
    <w:rsid w:val="00C502EF"/>
    <w:rsid w:val="00C52B46"/>
    <w:rsid w:val="00C633B5"/>
    <w:rsid w:val="00C72F4C"/>
    <w:rsid w:val="00C834A4"/>
    <w:rsid w:val="00CB4437"/>
    <w:rsid w:val="00CC4985"/>
    <w:rsid w:val="00CC4B3E"/>
    <w:rsid w:val="00CD6514"/>
    <w:rsid w:val="00CE0AD3"/>
    <w:rsid w:val="00CE12B6"/>
    <w:rsid w:val="00D0429F"/>
    <w:rsid w:val="00D06315"/>
    <w:rsid w:val="00D3312F"/>
    <w:rsid w:val="00D524F4"/>
    <w:rsid w:val="00D56394"/>
    <w:rsid w:val="00D56D56"/>
    <w:rsid w:val="00D67529"/>
    <w:rsid w:val="00D769EB"/>
    <w:rsid w:val="00D80F10"/>
    <w:rsid w:val="00D84635"/>
    <w:rsid w:val="00D92252"/>
    <w:rsid w:val="00D942A0"/>
    <w:rsid w:val="00DA42DB"/>
    <w:rsid w:val="00DB1878"/>
    <w:rsid w:val="00DB33F3"/>
    <w:rsid w:val="00DB4D9E"/>
    <w:rsid w:val="00DC71A1"/>
    <w:rsid w:val="00DD0489"/>
    <w:rsid w:val="00DD7FDA"/>
    <w:rsid w:val="00E00896"/>
    <w:rsid w:val="00E1357A"/>
    <w:rsid w:val="00E16290"/>
    <w:rsid w:val="00E32BF4"/>
    <w:rsid w:val="00E45556"/>
    <w:rsid w:val="00E60076"/>
    <w:rsid w:val="00E71D81"/>
    <w:rsid w:val="00E827B5"/>
    <w:rsid w:val="00EB1409"/>
    <w:rsid w:val="00EC5095"/>
    <w:rsid w:val="00EC56B4"/>
    <w:rsid w:val="00ED0147"/>
    <w:rsid w:val="00EE3328"/>
    <w:rsid w:val="00EF3CDA"/>
    <w:rsid w:val="00EF6979"/>
    <w:rsid w:val="00F118F3"/>
    <w:rsid w:val="00F23F68"/>
    <w:rsid w:val="00F2408F"/>
    <w:rsid w:val="00F245F7"/>
    <w:rsid w:val="00F45399"/>
    <w:rsid w:val="00F55499"/>
    <w:rsid w:val="00F55914"/>
    <w:rsid w:val="00F56BDA"/>
    <w:rsid w:val="00F570FA"/>
    <w:rsid w:val="00F67617"/>
    <w:rsid w:val="00F73D32"/>
    <w:rsid w:val="00FA1AD5"/>
    <w:rsid w:val="00FB7744"/>
    <w:rsid w:val="00FC77FB"/>
    <w:rsid w:val="00FE1BFB"/>
    <w:rsid w:val="00FE4438"/>
    <w:rsid w:val="00FE73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62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501624"/>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Char">
    <w:name w:val="页眉 Char"/>
    <w:basedOn w:val="a0"/>
    <w:link w:val="a3"/>
    <w:uiPriority w:val="99"/>
    <w:locked/>
    <w:rsid w:val="00501624"/>
    <w:rPr>
      <w:rFonts w:cs="Times New Roman"/>
      <w:sz w:val="18"/>
    </w:rPr>
  </w:style>
  <w:style w:type="paragraph" w:styleId="a4">
    <w:name w:val="footer"/>
    <w:basedOn w:val="a"/>
    <w:link w:val="Char0"/>
    <w:uiPriority w:val="99"/>
    <w:rsid w:val="00501624"/>
    <w:pPr>
      <w:tabs>
        <w:tab w:val="center" w:pos="4153"/>
        <w:tab w:val="right" w:pos="8306"/>
      </w:tabs>
      <w:snapToGrid w:val="0"/>
      <w:jc w:val="left"/>
    </w:pPr>
    <w:rPr>
      <w:rFonts w:cs="Times New Roman"/>
      <w:kern w:val="0"/>
      <w:sz w:val="18"/>
      <w:szCs w:val="18"/>
    </w:rPr>
  </w:style>
  <w:style w:type="character" w:customStyle="1" w:styleId="Char0">
    <w:name w:val="页脚 Char"/>
    <w:basedOn w:val="a0"/>
    <w:link w:val="a4"/>
    <w:uiPriority w:val="99"/>
    <w:locked/>
    <w:rsid w:val="00501624"/>
    <w:rPr>
      <w:rFonts w:cs="Times New Roman"/>
      <w:sz w:val="18"/>
    </w:rPr>
  </w:style>
  <w:style w:type="paragraph" w:styleId="a5">
    <w:name w:val="Normal (Web)"/>
    <w:basedOn w:val="a"/>
    <w:uiPriority w:val="99"/>
    <w:rsid w:val="00501624"/>
    <w:pPr>
      <w:spacing w:beforeAutospacing="1" w:afterAutospacing="1"/>
      <w:jc w:val="left"/>
    </w:pPr>
    <w:rPr>
      <w:kern w:val="0"/>
      <w:sz w:val="24"/>
      <w:szCs w:val="24"/>
    </w:rPr>
  </w:style>
  <w:style w:type="character" w:styleId="a6">
    <w:name w:val="page number"/>
    <w:basedOn w:val="a0"/>
    <w:uiPriority w:val="99"/>
    <w:rsid w:val="003251D7"/>
    <w:rPr>
      <w:rFonts w:cs="Times New Roman"/>
    </w:rPr>
  </w:style>
</w:styles>
</file>

<file path=word/webSettings.xml><?xml version="1.0" encoding="utf-8"?>
<w:webSettings xmlns:r="http://schemas.openxmlformats.org/officeDocument/2006/relationships" xmlns:w="http://schemas.openxmlformats.org/wordprocessingml/2006/main">
  <w:divs>
    <w:div w:id="1651059554">
      <w:marLeft w:val="0"/>
      <w:marRight w:val="0"/>
      <w:marTop w:val="0"/>
      <w:marBottom w:val="0"/>
      <w:divBdr>
        <w:top w:val="none" w:sz="0" w:space="0" w:color="auto"/>
        <w:left w:val="none" w:sz="0" w:space="0" w:color="auto"/>
        <w:bottom w:val="none" w:sz="0" w:space="0" w:color="auto"/>
        <w:right w:val="none" w:sz="0" w:space="0" w:color="auto"/>
      </w:divBdr>
    </w:div>
    <w:div w:id="16510595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宁海县人民政府办公室关于印发2019年宁海县政务公开工作要点的通知</dc:title>
  <dc:subject/>
  <dc:creator>PC</dc:creator>
  <cp:keywords/>
  <dc:description/>
  <cp:lastModifiedBy>PC</cp:lastModifiedBy>
  <cp:revision>4</cp:revision>
  <dcterms:created xsi:type="dcterms:W3CDTF">2019-08-02T07:26:00Z</dcterms:created>
  <dcterms:modified xsi:type="dcterms:W3CDTF">2019-08-09T08:59:00Z</dcterms:modified>
</cp:coreProperties>
</file>