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line="432" w:lineRule="atLeast"/>
        <w:jc w:val="center"/>
        <w:rPr>
          <w:rFonts w:hint="eastAsia" w:ascii="方正小标宋_GBK" w:hAnsi="方正小标宋_GBK" w:eastAsia="方正小标宋_GBK" w:cs="方正小标宋_GBK"/>
          <w:b w:val="0"/>
          <w:bCs/>
          <w:color w:val="333333"/>
          <w:sz w:val="36"/>
          <w:szCs w:val="36"/>
        </w:rPr>
      </w:pPr>
      <w:r>
        <w:rPr>
          <w:rFonts w:hint="eastAsia" w:ascii="方正小标宋_GBK" w:hAnsi="方正小标宋_GBK" w:eastAsia="方正小标宋_GBK" w:cs="方正小标宋_GBK"/>
          <w:b w:val="0"/>
          <w:bCs/>
          <w:color w:val="333333"/>
          <w:sz w:val="36"/>
          <w:szCs w:val="36"/>
        </w:rPr>
        <w:t>中国人民银行宁海县支行2019年</w:t>
      </w:r>
    </w:p>
    <w:p>
      <w:pPr>
        <w:pStyle w:val="2"/>
        <w:widowControl/>
        <w:spacing w:before="0" w:beforeAutospacing="0" w:after="0" w:afterAutospacing="0" w:line="432" w:lineRule="atLeast"/>
        <w:jc w:val="center"/>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color w:val="333333"/>
          <w:sz w:val="36"/>
          <w:szCs w:val="36"/>
        </w:rPr>
        <w:t>政府信息公开工作年度报告</w:t>
      </w:r>
    </w:p>
    <w:p>
      <w:pPr>
        <w:pStyle w:val="2"/>
        <w:widowControl/>
        <w:spacing w:before="0" w:beforeAutospacing="0" w:after="0" w:afterAutospacing="0" w:line="432" w:lineRule="atLeast"/>
        <w:ind w:firstLine="420"/>
        <w:jc w:val="both"/>
        <w:rPr>
          <w:rFonts w:ascii="宋体" w:cs="宋体"/>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一、总体情况</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2019年以来，人民银行宁海县支行</w:t>
      </w:r>
      <w:r>
        <w:rPr>
          <w:rFonts w:hint="eastAsia" w:ascii="仿宋_GB2312" w:hAnsi="仿宋_GB2312" w:eastAsia="仿宋_GB2312" w:cs="仿宋_GB2312"/>
          <w:kern w:val="2"/>
          <w:sz w:val="32"/>
          <w:szCs w:val="32"/>
          <w:lang w:val="en-US" w:eastAsia="zh-CN"/>
        </w:rPr>
        <w:t>（以下简称“宁海县支行”）</w:t>
      </w:r>
      <w:r>
        <w:rPr>
          <w:rFonts w:hint="eastAsia" w:ascii="仿宋_GB2312" w:hAnsi="仿宋_GB2312" w:eastAsia="仿宋_GB2312" w:cs="仿宋_GB2312"/>
          <w:kern w:val="2"/>
          <w:sz w:val="32"/>
          <w:szCs w:val="32"/>
        </w:rPr>
        <w:t>严格对照《中华人民共和国政府信息公开条例》、《宁波市政府信息公开规定》文件精神，认真落实《宁海县人民政府办公室关于印发2019年度政务信息等工作目标管理考核办法的通知》（宁政办明电〔2019〕22号）和《宁海县人民政府办公室关于进一步推进社会公益事业建设领域政府信息公开工作的若干意见》相关要求，认真做好政府信息公开工作。</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rPr>
        <w:t>（一）建立健全政务公开制度体系</w:t>
      </w:r>
      <w:r>
        <w:rPr>
          <w:rFonts w:hint="eastAsia" w:ascii="仿宋_GB2312" w:hAnsi="仿宋_GB2312" w:eastAsia="仿宋_GB2312" w:cs="仿宋_GB2312"/>
          <w:kern w:val="2"/>
          <w:sz w:val="32"/>
          <w:szCs w:val="32"/>
          <w:lang w:eastAsia="zh-CN"/>
        </w:rPr>
        <w:t>，强化监督保障各项措施</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val="en-US" w:eastAsia="zh-CN"/>
        </w:rPr>
        <w:t>宁海县支行</w:t>
      </w:r>
      <w:r>
        <w:rPr>
          <w:rFonts w:hint="eastAsia" w:ascii="仿宋_GB2312" w:hAnsi="仿宋_GB2312" w:eastAsia="仿宋_GB2312" w:cs="仿宋_GB2312"/>
          <w:kern w:val="2"/>
          <w:sz w:val="32"/>
          <w:szCs w:val="32"/>
        </w:rPr>
        <w:t>高度重视政府信息公开工作，全力加强政务公开平台和组织机制建设，</w:t>
      </w:r>
      <w:bookmarkStart w:id="0" w:name="_GoBack"/>
      <w:bookmarkEnd w:id="0"/>
      <w:r>
        <w:rPr>
          <w:rFonts w:hint="eastAsia" w:ascii="仿宋_GB2312" w:hAnsi="仿宋_GB2312" w:eastAsia="仿宋_GB2312" w:cs="仿宋_GB2312"/>
          <w:kern w:val="2"/>
          <w:sz w:val="32"/>
          <w:szCs w:val="32"/>
          <w:lang w:eastAsia="zh-CN"/>
        </w:rPr>
        <w:t>推进行政决策公开、执行公开、管理公开、服务公开和结果公开，打造法治央行、廉洁央行和服务型央行。</w:t>
      </w:r>
      <w:r>
        <w:rPr>
          <w:rFonts w:hint="eastAsia" w:ascii="仿宋_GB2312" w:hAnsi="仿宋_GB2312" w:eastAsia="仿宋_GB2312" w:cs="仿宋_GB2312"/>
          <w:kern w:val="2"/>
          <w:sz w:val="32"/>
          <w:szCs w:val="32"/>
        </w:rPr>
        <w:t>一是落实主体责任。</w:t>
      </w:r>
      <w:r>
        <w:rPr>
          <w:rFonts w:hint="eastAsia" w:ascii="仿宋_GB2312" w:hAnsi="仿宋_GB2312" w:eastAsia="仿宋_GB2312" w:cs="仿宋_GB2312"/>
          <w:kern w:val="2"/>
          <w:sz w:val="32"/>
          <w:szCs w:val="32"/>
          <w:lang w:eastAsia="zh-CN"/>
        </w:rPr>
        <w:t>建立支行</w:t>
      </w:r>
      <w:r>
        <w:rPr>
          <w:rFonts w:hint="eastAsia" w:ascii="仿宋_GB2312" w:hAnsi="仿宋_GB2312" w:eastAsia="仿宋_GB2312" w:cs="仿宋_GB2312"/>
          <w:kern w:val="2"/>
          <w:sz w:val="32"/>
          <w:szCs w:val="32"/>
        </w:rPr>
        <w:t>主要领导亲自抓，分管领导具体抓，办公室</w:t>
      </w:r>
      <w:r>
        <w:rPr>
          <w:rFonts w:hint="eastAsia" w:ascii="仿宋_GB2312" w:hAnsi="仿宋_GB2312" w:eastAsia="仿宋_GB2312" w:cs="仿宋_GB2312"/>
          <w:kern w:val="2"/>
          <w:sz w:val="32"/>
          <w:szCs w:val="32"/>
          <w:lang w:eastAsia="zh-CN"/>
        </w:rPr>
        <w:t>专人主动抓的工作机制。通过</w:t>
      </w:r>
      <w:r>
        <w:rPr>
          <w:rFonts w:hint="eastAsia" w:ascii="仿宋_GB2312" w:hAnsi="仿宋_GB2312" w:eastAsia="仿宋_GB2312" w:cs="仿宋_GB2312"/>
          <w:kern w:val="2"/>
          <w:sz w:val="32"/>
          <w:szCs w:val="32"/>
        </w:rPr>
        <w:t>将年度重点工作任务分解细化，明确责任和时限，确保政府信息公开工作持续推进。二是完善保密审查机制。全面贯彻《中华人民共和国保守国家秘密法》相关规定，规范审查程序，落实审查责任，认真做好对拟公开政府信息的保密审查工作。三是抓好整改落实。根据县政务公开</w:t>
      </w:r>
      <w:r>
        <w:rPr>
          <w:rFonts w:hint="eastAsia" w:ascii="仿宋_GB2312" w:hAnsi="仿宋_GB2312" w:eastAsia="仿宋_GB2312" w:cs="仿宋_GB2312"/>
          <w:kern w:val="2"/>
          <w:sz w:val="32"/>
          <w:szCs w:val="32"/>
          <w:lang w:eastAsia="zh-CN"/>
        </w:rPr>
        <w:t>科</w:t>
      </w:r>
      <w:r>
        <w:rPr>
          <w:rFonts w:hint="eastAsia" w:ascii="仿宋_GB2312" w:hAnsi="仿宋_GB2312" w:eastAsia="仿宋_GB2312" w:cs="仿宋_GB2312"/>
          <w:kern w:val="2"/>
          <w:sz w:val="32"/>
          <w:szCs w:val="32"/>
        </w:rPr>
        <w:t>测评反馈的问题，加强沟通</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明确时限，确保</w:t>
      </w:r>
      <w:r>
        <w:rPr>
          <w:rFonts w:hint="eastAsia" w:ascii="仿宋_GB2312" w:hAnsi="仿宋_GB2312" w:eastAsia="仿宋_GB2312" w:cs="仿宋_GB2312"/>
          <w:kern w:val="2"/>
          <w:sz w:val="32"/>
          <w:szCs w:val="32"/>
          <w:lang w:eastAsia="zh-CN"/>
        </w:rPr>
        <w:t>整改落实全面到位。</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（二）严格落实公开制度，认真履行基层央行职责。</w:t>
      </w:r>
      <w:r>
        <w:rPr>
          <w:rFonts w:hint="eastAsia" w:ascii="仿宋_GB2312" w:hAnsi="仿宋_GB2312" w:eastAsia="仿宋_GB2312" w:cs="仿宋_GB2312"/>
          <w:kern w:val="2"/>
          <w:sz w:val="32"/>
          <w:szCs w:val="32"/>
          <w:lang w:val="en-US" w:eastAsia="zh-CN"/>
        </w:rPr>
        <w:t>宁海县支行</w:t>
      </w:r>
      <w:r>
        <w:rPr>
          <w:rFonts w:hint="eastAsia" w:ascii="仿宋_GB2312" w:hAnsi="仿宋_GB2312" w:eastAsia="仿宋_GB2312" w:cs="仿宋_GB2312"/>
          <w:kern w:val="2"/>
          <w:sz w:val="32"/>
          <w:szCs w:val="32"/>
        </w:rPr>
        <w:t>紧紧围绕支行中心工作，坚持公开为原则、不公开为例外，做好各类公告、政务工作信息、辖内金融机构本外币存贷情况、行政许可、支行重点热点工作等内容的公开工作，确保公开内容全面、涵盖范围广泛、公开力度加大、公开实效增强，积极做好舆情引导工作，切实维护人民群众的合法知情权。本年度主动公开政府信息3015条，其中政府网站公开政府信息3003条，其他方式公开政府信息12条。通过《今日宁海》、宁海电视台等新闻媒体主动向广大市民解读金融政策调整、宣传金融知识12次，回应公众关注的热点或重大舆情4次，新收并按要求答复政府信息公开申请1例。</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rPr>
        <w:t>（三）聚焦重点领域，积极回应社会关切。</w:t>
      </w:r>
      <w:r>
        <w:rPr>
          <w:rFonts w:hint="eastAsia" w:ascii="仿宋_GB2312" w:hAnsi="仿宋_GB2312" w:eastAsia="仿宋_GB2312" w:cs="仿宋_GB2312"/>
          <w:kern w:val="2"/>
          <w:sz w:val="32"/>
          <w:szCs w:val="32"/>
          <w:lang w:val="en-US" w:eastAsia="zh-CN"/>
        </w:rPr>
        <w:t>宁海县支行</w:t>
      </w:r>
      <w:r>
        <w:rPr>
          <w:rFonts w:hint="eastAsia" w:ascii="仿宋_GB2312" w:hAnsi="仿宋_GB2312" w:eastAsia="仿宋_GB2312" w:cs="仿宋_GB2312"/>
          <w:kern w:val="2"/>
          <w:sz w:val="32"/>
          <w:szCs w:val="32"/>
        </w:rPr>
        <w:t>严格落实宁海县货币信贷工作的相关要求，加强信贷风险识别和监测预警，强化对银行资产质量、流动性等方面的风险监测，按月做好辖内金融机构本外币存贷情况表的公开工作。推进“放管服”改革工作，落实行政执法事项公开，每周公开账户行政许可公示表，本年度共公开行政许可2946条，</w:t>
      </w:r>
      <w:r>
        <w:rPr>
          <w:rFonts w:hint="eastAsia" w:ascii="仿宋_GB2312" w:hAnsi="仿宋_GB2312" w:eastAsia="仿宋_GB2312" w:cs="仿宋_GB2312"/>
          <w:kern w:val="2"/>
          <w:sz w:val="32"/>
          <w:szCs w:val="32"/>
          <w:lang w:eastAsia="zh-CN"/>
        </w:rPr>
        <w:t>按要求</w:t>
      </w:r>
      <w:r>
        <w:rPr>
          <w:rFonts w:hint="eastAsia" w:ascii="仿宋_GB2312" w:hAnsi="仿宋_GB2312" w:eastAsia="仿宋_GB2312" w:cs="仿宋_GB2312"/>
          <w:kern w:val="2"/>
          <w:sz w:val="32"/>
          <w:szCs w:val="32"/>
        </w:rPr>
        <w:t>及时做好行政处罚</w:t>
      </w:r>
      <w:r>
        <w:rPr>
          <w:rFonts w:hint="eastAsia" w:ascii="仿宋_GB2312" w:hAnsi="仿宋_GB2312" w:eastAsia="仿宋_GB2312" w:cs="仿宋_GB2312"/>
          <w:kern w:val="2"/>
          <w:sz w:val="32"/>
          <w:szCs w:val="32"/>
          <w:lang w:eastAsia="zh-CN"/>
        </w:rPr>
        <w:t>信息</w:t>
      </w:r>
      <w:r>
        <w:rPr>
          <w:rFonts w:hint="eastAsia" w:ascii="仿宋_GB2312" w:hAnsi="仿宋_GB2312" w:eastAsia="仿宋_GB2312" w:cs="仿宋_GB2312"/>
          <w:kern w:val="2"/>
          <w:sz w:val="32"/>
          <w:szCs w:val="32"/>
        </w:rPr>
        <w:t>公开工作。紧紧围绕经济金融发展和人民群众关注关切，借助媒体渠道发布关于取消</w:t>
      </w:r>
      <w:r>
        <w:rPr>
          <w:rFonts w:hint="eastAsia" w:ascii="仿宋_GB2312" w:hAnsi="仿宋_GB2312" w:eastAsia="仿宋_GB2312" w:cs="仿宋_GB2312"/>
          <w:kern w:val="2"/>
          <w:sz w:val="32"/>
          <w:szCs w:val="32"/>
          <w:lang w:eastAsia="zh-CN"/>
        </w:rPr>
        <w:t>企业</w:t>
      </w:r>
      <w:r>
        <w:rPr>
          <w:rFonts w:hint="eastAsia" w:ascii="仿宋_GB2312" w:hAnsi="仿宋_GB2312" w:eastAsia="仿宋_GB2312" w:cs="仿宋_GB2312"/>
          <w:kern w:val="2"/>
          <w:sz w:val="32"/>
          <w:szCs w:val="32"/>
        </w:rPr>
        <w:t>银行账户许可</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反洗钱、征信等内容，主动做好政策解读回应，切实提升全民金融风险意识，提高金融知识素养。</w:t>
      </w:r>
      <w:r>
        <w:rPr>
          <w:rFonts w:hint="eastAsia" w:ascii="仿宋_GB2312" w:hAnsi="仿宋_GB2312" w:eastAsia="仿宋_GB2312" w:cs="仿宋_GB2312"/>
          <w:kern w:val="2"/>
          <w:sz w:val="32"/>
          <w:szCs w:val="32"/>
          <w:lang w:eastAsia="zh-CN"/>
        </w:rPr>
        <w:t>本年度，通过宁海电视台和《今日宁海》报刊共计发布取消企业银行账户许可等政策类信息</w:t>
      </w:r>
      <w:r>
        <w:rPr>
          <w:rFonts w:hint="eastAsia" w:ascii="仿宋_GB2312" w:hAnsi="仿宋_GB2312" w:eastAsia="仿宋_GB2312" w:cs="仿宋_GB2312"/>
          <w:kern w:val="2"/>
          <w:sz w:val="32"/>
          <w:szCs w:val="32"/>
          <w:lang w:val="en-US" w:eastAsia="zh-CN"/>
        </w:rPr>
        <w:t>3次，发布反洗钱、征信、防范金融诈骗等金融知识信息4次，发布金融支持实体经济发展、金融服务、金融教育等工作成果信息5次。</w:t>
      </w:r>
    </w:p>
    <w:p>
      <w:pPr>
        <w:pStyle w:val="2"/>
        <w:keepNext w:val="0"/>
        <w:keepLines w:val="0"/>
        <w:pageBreakBefore w:val="0"/>
        <w:widowControl/>
        <w:kinsoku/>
        <w:wordWrap/>
        <w:overflowPunct/>
        <w:topLinePunct w:val="0"/>
        <w:autoSpaceDE/>
        <w:autoSpaceDN/>
        <w:bidi w:val="0"/>
        <w:adjustRightInd/>
        <w:snapToGrid/>
        <w:spacing w:before="0" w:beforeAutospacing="0" w:after="240" w:afterAutospacing="0" w:line="240" w:lineRule="auto"/>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color w:val="333333"/>
          <w:sz w:val="32"/>
          <w:szCs w:val="32"/>
        </w:rPr>
        <w:t>二、主动公开政府信息情况</w:t>
      </w:r>
    </w:p>
    <w:tbl>
      <w:tblPr>
        <w:tblStyle w:val="3"/>
        <w:tblW w:w="81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13"/>
        <w:gridCol w:w="1875"/>
        <w:gridCol w:w="6"/>
        <w:gridCol w:w="1265"/>
        <w:gridCol w:w="1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rPr>
                <w:sz w:val="21"/>
                <w:szCs w:val="21"/>
              </w:rPr>
            </w:pPr>
            <w:r>
              <w:rPr>
                <w:rFonts w:hint="eastAsia" w:ascii="宋体" w:hAnsi="宋体" w:cs="宋体"/>
                <w:color w:val="000000"/>
                <w:kern w:val="0"/>
                <w:sz w:val="21"/>
                <w:szCs w:val="21"/>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jc w:val="center"/>
        </w:trPr>
        <w:tc>
          <w:tcPr>
            <w:tcW w:w="3113"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after="180"/>
              <w:jc w:val="center"/>
              <w:rPr>
                <w:sz w:val="21"/>
                <w:szCs w:val="21"/>
              </w:rPr>
            </w:pPr>
            <w:r>
              <w:rPr>
                <w:rFonts w:hint="eastAsia" w:ascii="宋体" w:hAnsi="宋体" w:cs="宋体"/>
                <w:color w:val="000000"/>
                <w:kern w:val="0"/>
                <w:sz w:val="21"/>
                <w:szCs w:val="21"/>
              </w:rPr>
              <w:t>信息内容</w:t>
            </w:r>
          </w:p>
        </w:tc>
        <w:tc>
          <w:tcPr>
            <w:tcW w:w="1875" w:type="dxa"/>
            <w:tcBorders>
              <w:top w:val="single" w:color="auto" w:sz="8" w:space="0"/>
              <w:left w:val="single" w:color="auto" w:sz="4" w:space="0"/>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hint="eastAsia" w:ascii="宋体" w:hAnsi="宋体" w:cs="宋体"/>
                <w:color w:val="000000"/>
                <w:kern w:val="0"/>
                <w:sz w:val="21"/>
                <w:szCs w:val="21"/>
              </w:rPr>
              <w:t>本年新</w:t>
            </w:r>
            <w:r>
              <w:rPr>
                <w:rFonts w:ascii="宋体" w:cs="宋体"/>
                <w:color w:val="000000"/>
                <w:kern w:val="0"/>
                <w:sz w:val="21"/>
                <w:szCs w:val="21"/>
              </w:rPr>
              <w:br w:type="textWrapping"/>
            </w:r>
            <w:r>
              <w:rPr>
                <w:rFonts w:hint="eastAsia"/>
                <w:kern w:val="0"/>
                <w:sz w:val="21"/>
                <w:szCs w:val="21"/>
              </w:rPr>
              <w:t>制作数量</w:t>
            </w:r>
          </w:p>
        </w:tc>
        <w:tc>
          <w:tcPr>
            <w:tcW w:w="1271" w:type="dxa"/>
            <w:gridSpan w:val="2"/>
            <w:tcBorders>
              <w:top w:val="single" w:color="auto" w:sz="8" w:space="0"/>
              <w:left w:val="nil"/>
              <w:bottom w:val="single" w:color="auto" w:sz="8" w:space="0"/>
              <w:right w:val="single" w:color="auto" w:sz="4" w:space="0"/>
            </w:tcBorders>
            <w:tcMar>
              <w:left w:w="108" w:type="dxa"/>
              <w:right w:w="108" w:type="dxa"/>
            </w:tcMar>
            <w:vAlign w:val="center"/>
          </w:tcPr>
          <w:p>
            <w:pPr>
              <w:widowControl/>
              <w:spacing w:after="180"/>
              <w:jc w:val="center"/>
              <w:rPr>
                <w:sz w:val="21"/>
                <w:szCs w:val="21"/>
              </w:rPr>
            </w:pPr>
            <w:r>
              <w:rPr>
                <w:rFonts w:hint="eastAsia" w:ascii="宋体" w:hAnsi="宋体" w:cs="宋体"/>
                <w:color w:val="000000"/>
                <w:kern w:val="0"/>
                <w:sz w:val="21"/>
                <w:szCs w:val="21"/>
              </w:rPr>
              <w:t>本年新</w:t>
            </w:r>
            <w:r>
              <w:rPr>
                <w:rFonts w:ascii="宋体" w:cs="宋体"/>
                <w:color w:val="000000"/>
                <w:kern w:val="0"/>
                <w:sz w:val="21"/>
                <w:szCs w:val="21"/>
              </w:rPr>
              <w:br w:type="textWrapping"/>
            </w:r>
            <w:r>
              <w:rPr>
                <w:rFonts w:hint="eastAsia"/>
                <w:kern w:val="0"/>
                <w:sz w:val="21"/>
                <w:szCs w:val="21"/>
              </w:rPr>
              <w:t>公开数量</w:t>
            </w:r>
          </w:p>
        </w:tc>
        <w:tc>
          <w:tcPr>
            <w:tcW w:w="188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spacing w:after="180"/>
              <w:jc w:val="center"/>
              <w:rPr>
                <w:sz w:val="21"/>
                <w:szCs w:val="21"/>
              </w:rPr>
            </w:pPr>
            <w:r>
              <w:rPr>
                <w:rFonts w:hint="eastAsia" w:ascii="宋体" w:hAnsi="宋体" w:cs="宋体"/>
                <w:color w:val="000000"/>
                <w:kern w:val="0"/>
                <w:sz w:val="21"/>
                <w:szCs w:val="21"/>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atLeast"/>
          <w:jc w:val="center"/>
        </w:trPr>
        <w:tc>
          <w:tcPr>
            <w:tcW w:w="3113" w:type="dxa"/>
            <w:tcBorders>
              <w:top w:val="single" w:color="auto" w:sz="4" w:space="0"/>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hint="eastAsia" w:ascii="宋体" w:hAnsi="宋体" w:cs="宋体"/>
                <w:color w:val="000000"/>
                <w:kern w:val="0"/>
                <w:sz w:val="21"/>
                <w:szCs w:val="21"/>
              </w:rPr>
              <w:t>规章</w:t>
            </w:r>
          </w:p>
        </w:tc>
        <w:tc>
          <w:tcPr>
            <w:tcW w:w="1875"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hint="eastAsia" w:ascii="宋体" w:hAnsi="宋体" w:cs="宋体"/>
                <w:color w:val="000000"/>
                <w:kern w:val="0"/>
                <w:sz w:val="21"/>
                <w:szCs w:val="21"/>
              </w:rPr>
              <w:t>　　</w:t>
            </w:r>
            <w:r>
              <w:rPr>
                <w:rFonts w:ascii="宋体" w:cs="宋体"/>
                <w:color w:val="000000"/>
                <w:kern w:val="0"/>
                <w:sz w:val="21"/>
                <w:szCs w:val="21"/>
              </w:rPr>
              <w:t>0</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ascii="宋体" w:cs="宋体"/>
                <w:color w:val="000000"/>
                <w:kern w:val="0"/>
                <w:sz w:val="21"/>
                <w:szCs w:val="21"/>
              </w:rPr>
              <w:t> 0</w:t>
            </w:r>
          </w:p>
        </w:tc>
        <w:tc>
          <w:tcPr>
            <w:tcW w:w="1881" w:type="dxa"/>
            <w:tcBorders>
              <w:top w:val="single" w:color="auto" w:sz="4" w:space="0"/>
              <w:left w:val="nil"/>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hint="eastAsia" w:ascii="宋体" w:hAnsi="宋体" w:cs="宋体"/>
                <w:color w:val="000000"/>
                <w:kern w:val="0"/>
                <w:sz w:val="21"/>
                <w:szCs w:val="21"/>
              </w:rPr>
              <w:t>　</w:t>
            </w:r>
            <w:r>
              <w:rPr>
                <w:rFonts w:ascii="宋体" w:cs="宋体"/>
                <w:color w:val="000000"/>
                <w:kern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hint="eastAsia" w:ascii="宋体" w:hAnsi="宋体" w:cs="宋体"/>
                <w:color w:val="000000"/>
                <w:kern w:val="0"/>
                <w:sz w:val="21"/>
                <w:szCs w:val="21"/>
              </w:rPr>
              <w:t>规范性文件</w:t>
            </w:r>
          </w:p>
        </w:tc>
        <w:tc>
          <w:tcPr>
            <w:tcW w:w="1875"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hint="eastAsia" w:ascii="宋体" w:hAnsi="宋体" w:cs="宋体"/>
                <w:color w:val="000000"/>
                <w:kern w:val="0"/>
                <w:sz w:val="21"/>
                <w:szCs w:val="21"/>
              </w:rPr>
              <w:t>　　</w:t>
            </w:r>
            <w:r>
              <w:rPr>
                <w:rFonts w:ascii="宋体" w:cs="宋体"/>
                <w:color w:val="000000"/>
                <w:kern w:val="0"/>
                <w:sz w:val="21"/>
                <w:szCs w:val="21"/>
              </w:rPr>
              <w:t>0</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ascii="宋体" w:cs="宋体"/>
                <w:color w:val="000000"/>
                <w:kern w:val="0"/>
                <w:sz w:val="21"/>
                <w:szCs w:val="21"/>
              </w:rPr>
              <w:t> 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hint="eastAsia" w:eastAsia="宋体"/>
                <w:sz w:val="21"/>
                <w:szCs w:val="21"/>
                <w:lang w:eastAsia="zh-CN"/>
              </w:rPr>
            </w:pPr>
            <w:r>
              <w:rPr>
                <w:rFonts w:hint="eastAsia" w:ascii="宋体" w:hAnsi="宋体" w:cs="宋体"/>
                <w:color w:val="000000"/>
                <w:kern w:val="0"/>
                <w:sz w:val="21"/>
                <w:szCs w:val="21"/>
              </w:rPr>
              <w:t>　</w:t>
            </w:r>
            <w:r>
              <w:rPr>
                <w:rFonts w:hint="eastAsia" w:ascii="宋体" w:cs="宋体"/>
                <w:color w:val="000000"/>
                <w:kern w:val="0"/>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rPr>
                <w:sz w:val="21"/>
                <w:szCs w:val="21"/>
              </w:rPr>
            </w:pPr>
            <w:r>
              <w:rPr>
                <w:rFonts w:hint="eastAsia" w:ascii="宋体" w:hAnsi="宋体" w:cs="宋体"/>
                <w:color w:val="000000"/>
                <w:kern w:val="0"/>
                <w:sz w:val="21"/>
                <w:szCs w:val="21"/>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hint="eastAsia" w:ascii="宋体" w:hAnsi="宋体" w:cs="宋体"/>
                <w:color w:val="000000"/>
                <w:kern w:val="0"/>
                <w:sz w:val="21"/>
                <w:szCs w:val="21"/>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hint="eastAsia" w:ascii="宋体" w:hAnsi="宋体" w:cs="宋体"/>
                <w:color w:val="000000"/>
                <w:kern w:val="0"/>
                <w:sz w:val="21"/>
                <w:szCs w:val="21"/>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hint="eastAsia" w:ascii="宋体" w:hAnsi="宋体" w:cs="宋体"/>
                <w:color w:val="000000"/>
                <w:kern w:val="0"/>
                <w:sz w:val="21"/>
                <w:szCs w:val="21"/>
              </w:rPr>
              <w:t>本年增</w:t>
            </w:r>
            <w:r>
              <w:rPr>
                <w:rFonts w:ascii="宋体" w:hAnsi="宋体" w:cs="宋体"/>
                <w:color w:val="000000"/>
                <w:kern w:val="0"/>
                <w:sz w:val="21"/>
                <w:szCs w:val="21"/>
              </w:rPr>
              <w:t>/</w:t>
            </w:r>
            <w:r>
              <w:rPr>
                <w:rFonts w:hint="eastAsia" w:ascii="宋体" w:hAnsi="宋体" w:cs="宋体"/>
                <w:color w:val="000000"/>
                <w:kern w:val="0"/>
                <w:sz w:val="21"/>
                <w:szCs w:val="21"/>
              </w:rPr>
              <w:t>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hint="eastAsia" w:ascii="宋体" w:hAnsi="宋体" w:cs="宋体"/>
                <w:color w:val="000000"/>
                <w:kern w:val="0"/>
                <w:sz w:val="21"/>
                <w:szCs w:val="21"/>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hint="eastAsia" w:ascii="宋体" w:hAnsi="宋体" w:cs="宋体"/>
                <w:color w:val="000000"/>
                <w:kern w:val="0"/>
                <w:sz w:val="21"/>
                <w:szCs w:val="21"/>
              </w:rPr>
              <w:t>行政许可</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hint="eastAsia" w:ascii="宋体" w:hAnsi="宋体" w:cs="宋体"/>
                <w:color w:val="000000"/>
                <w:kern w:val="0"/>
                <w:sz w:val="21"/>
                <w:szCs w:val="21"/>
              </w:rPr>
              <w:t>　</w:t>
            </w:r>
            <w:r>
              <w:rPr>
                <w:rFonts w:ascii="宋体" w:hAnsi="宋体" w:cs="宋体"/>
                <w:color w:val="000000"/>
                <w:kern w:val="0"/>
                <w:sz w:val="21"/>
                <w:szCs w:val="21"/>
              </w:rPr>
              <w:t>1</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hint="eastAsia" w:ascii="宋体" w:hAnsi="宋体" w:cs="宋体"/>
                <w:color w:val="000000"/>
                <w:kern w:val="0"/>
                <w:sz w:val="21"/>
                <w:szCs w:val="21"/>
              </w:rPr>
              <w:t>　</w:t>
            </w:r>
            <w:r>
              <w:rPr>
                <w:rFonts w:ascii="宋体" w:cs="宋体"/>
                <w:color w:val="000000"/>
                <w:kern w:val="0"/>
                <w:sz w:val="21"/>
                <w:szCs w:val="21"/>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hint="eastAsia" w:ascii="宋体" w:hAnsi="宋体" w:cs="宋体"/>
                <w:color w:val="000000"/>
                <w:kern w:val="0"/>
                <w:sz w:val="21"/>
                <w:szCs w:val="21"/>
              </w:rPr>
              <w:t>　</w:t>
            </w:r>
            <w:r>
              <w:rPr>
                <w:rFonts w:ascii="宋体" w:hAnsi="宋体" w:cs="宋体"/>
                <w:color w:val="000000"/>
                <w:kern w:val="0"/>
                <w:sz w:val="21"/>
                <w:szCs w:val="21"/>
              </w:rPr>
              <w:t>2946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hint="eastAsia" w:ascii="宋体" w:hAnsi="宋体" w:cs="宋体"/>
                <w:color w:val="000000"/>
                <w:kern w:val="0"/>
                <w:sz w:val="21"/>
                <w:szCs w:val="21"/>
              </w:rPr>
              <w:t>其他对外管理服务事项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hint="eastAsia" w:ascii="宋体" w:hAnsi="宋体" w:cs="宋体"/>
                <w:color w:val="000000"/>
                <w:kern w:val="0"/>
                <w:sz w:val="21"/>
                <w:szCs w:val="21"/>
              </w:rPr>
              <w:t>　</w:t>
            </w:r>
            <w:r>
              <w:rPr>
                <w:rFonts w:ascii="宋体" w:cs="宋体"/>
                <w:color w:val="000000"/>
                <w:kern w:val="0"/>
                <w:sz w:val="21"/>
                <w:szCs w:val="21"/>
              </w:rPr>
              <w:t>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hint="eastAsia" w:ascii="宋体" w:hAnsi="宋体" w:cs="宋体"/>
                <w:color w:val="000000"/>
                <w:kern w:val="0"/>
                <w:sz w:val="21"/>
                <w:szCs w:val="21"/>
              </w:rPr>
              <w:t>　</w:t>
            </w:r>
            <w:r>
              <w:rPr>
                <w:rFonts w:ascii="宋体" w:cs="宋体"/>
                <w:color w:val="000000"/>
                <w:kern w:val="0"/>
                <w:sz w:val="21"/>
                <w:szCs w:val="21"/>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hint="eastAsia" w:ascii="宋体" w:hAnsi="宋体" w:cs="宋体"/>
                <w:color w:val="000000"/>
                <w:kern w:val="0"/>
                <w:sz w:val="21"/>
                <w:szCs w:val="21"/>
              </w:rPr>
              <w:t>　</w:t>
            </w:r>
            <w:r>
              <w:rPr>
                <w:rFonts w:ascii="宋体" w:cs="宋体"/>
                <w:color w:val="000000"/>
                <w:kern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rPr>
                <w:sz w:val="21"/>
                <w:szCs w:val="21"/>
              </w:rPr>
            </w:pPr>
            <w:r>
              <w:rPr>
                <w:rFonts w:hint="eastAsia" w:ascii="宋体" w:hAnsi="宋体" w:cs="宋体"/>
                <w:color w:val="000000"/>
                <w:kern w:val="0"/>
                <w:sz w:val="21"/>
                <w:szCs w:val="21"/>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hint="eastAsia" w:ascii="宋体" w:hAnsi="宋体" w:cs="宋体"/>
                <w:color w:val="000000"/>
                <w:kern w:val="0"/>
                <w:sz w:val="21"/>
                <w:szCs w:val="21"/>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hint="eastAsia" w:ascii="宋体" w:hAnsi="宋体" w:cs="宋体"/>
                <w:color w:val="000000"/>
                <w:kern w:val="0"/>
                <w:sz w:val="21"/>
                <w:szCs w:val="21"/>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hint="eastAsia" w:ascii="宋体" w:hAnsi="宋体" w:cs="宋体"/>
                <w:color w:val="000000"/>
                <w:kern w:val="0"/>
                <w:sz w:val="21"/>
                <w:szCs w:val="21"/>
              </w:rPr>
              <w:t>本年增</w:t>
            </w:r>
            <w:r>
              <w:rPr>
                <w:rFonts w:ascii="宋体" w:hAnsi="宋体" w:cs="宋体"/>
                <w:color w:val="000000"/>
                <w:kern w:val="0"/>
                <w:sz w:val="21"/>
                <w:szCs w:val="21"/>
              </w:rPr>
              <w:t>/</w:t>
            </w:r>
            <w:r>
              <w:rPr>
                <w:rFonts w:hint="eastAsia" w:ascii="宋体" w:hAnsi="宋体" w:cs="宋体"/>
                <w:color w:val="000000"/>
                <w:kern w:val="0"/>
                <w:sz w:val="21"/>
                <w:szCs w:val="21"/>
              </w:rPr>
              <w:t>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hint="eastAsia" w:ascii="宋体" w:hAnsi="宋体" w:cs="宋体"/>
                <w:color w:val="000000"/>
                <w:kern w:val="0"/>
                <w:sz w:val="21"/>
                <w:szCs w:val="21"/>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hint="eastAsia" w:ascii="宋体" w:hAnsi="宋体" w:cs="宋体"/>
                <w:color w:val="000000"/>
                <w:kern w:val="0"/>
                <w:sz w:val="21"/>
                <w:szCs w:val="21"/>
              </w:rPr>
              <w:t>行政处罚</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hint="default" w:eastAsia="宋体"/>
                <w:sz w:val="21"/>
                <w:szCs w:val="21"/>
                <w:lang w:val="en-US" w:eastAsia="zh-CN"/>
              </w:rPr>
            </w:pPr>
            <w:r>
              <w:rPr>
                <w:rFonts w:hint="eastAsia" w:ascii="宋体" w:hAnsi="宋体" w:cs="宋体"/>
                <w:color w:val="000000"/>
                <w:kern w:val="0"/>
                <w:sz w:val="21"/>
                <w:szCs w:val="21"/>
              </w:rPr>
              <w:t>　</w:t>
            </w:r>
            <w:r>
              <w:rPr>
                <w:rFonts w:hint="eastAsia" w:ascii="宋体" w:hAnsi="宋体" w:cs="宋体"/>
                <w:color w:val="000000"/>
                <w:kern w:val="0"/>
                <w:sz w:val="21"/>
                <w:szCs w:val="21"/>
                <w:lang w:val="en-US" w:eastAsia="zh-CN"/>
              </w:rPr>
              <w:t>12</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hint="eastAsia" w:ascii="宋体" w:hAnsi="宋体" w:cs="宋体"/>
                <w:color w:val="000000"/>
                <w:kern w:val="0"/>
                <w:sz w:val="21"/>
                <w:szCs w:val="21"/>
              </w:rPr>
              <w:t>　</w:t>
            </w:r>
            <w:r>
              <w:rPr>
                <w:rFonts w:ascii="宋体" w:cs="宋体"/>
                <w:color w:val="000000"/>
                <w:kern w:val="0"/>
                <w:sz w:val="21"/>
                <w:szCs w:val="21"/>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hint="eastAsia" w:ascii="宋体" w:hAnsi="宋体" w:cs="宋体"/>
                <w:color w:val="000000"/>
                <w:kern w:val="0"/>
                <w:sz w:val="21"/>
                <w:szCs w:val="21"/>
              </w:rPr>
              <w:t>　</w:t>
            </w:r>
            <w:r>
              <w:rPr>
                <w:rFonts w:ascii="宋体" w:cs="宋体"/>
                <w:color w:val="000000"/>
                <w:kern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hint="eastAsia" w:ascii="宋体" w:hAnsi="宋体" w:cs="宋体"/>
                <w:color w:val="000000"/>
                <w:kern w:val="0"/>
                <w:sz w:val="21"/>
                <w:szCs w:val="21"/>
              </w:rPr>
              <w:t>行政强制</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hint="eastAsia" w:ascii="宋体" w:hAnsi="宋体" w:cs="宋体"/>
                <w:color w:val="000000"/>
                <w:kern w:val="0"/>
                <w:sz w:val="21"/>
                <w:szCs w:val="21"/>
              </w:rPr>
              <w:t>　</w:t>
            </w:r>
            <w:r>
              <w:rPr>
                <w:rFonts w:ascii="宋体" w:cs="宋体"/>
                <w:color w:val="000000"/>
                <w:kern w:val="0"/>
                <w:sz w:val="21"/>
                <w:szCs w:val="21"/>
              </w:rPr>
              <w:t>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hint="eastAsia" w:ascii="宋体" w:hAnsi="宋体" w:cs="宋体"/>
                <w:color w:val="000000"/>
                <w:kern w:val="0"/>
                <w:sz w:val="21"/>
                <w:szCs w:val="21"/>
              </w:rPr>
              <w:t>　</w:t>
            </w:r>
            <w:r>
              <w:rPr>
                <w:rFonts w:ascii="宋体" w:cs="宋体"/>
                <w:color w:val="000000"/>
                <w:kern w:val="0"/>
                <w:sz w:val="21"/>
                <w:szCs w:val="21"/>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hint="eastAsia" w:ascii="宋体" w:hAnsi="宋体" w:cs="宋体"/>
                <w:color w:val="000000"/>
                <w:kern w:val="0"/>
                <w:sz w:val="21"/>
                <w:szCs w:val="21"/>
              </w:rPr>
              <w:t>　</w:t>
            </w:r>
            <w:r>
              <w:rPr>
                <w:rFonts w:ascii="宋体" w:cs="宋体"/>
                <w:color w:val="000000"/>
                <w:kern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rPr>
                <w:sz w:val="21"/>
                <w:szCs w:val="21"/>
              </w:rPr>
            </w:pPr>
            <w:r>
              <w:rPr>
                <w:rFonts w:hint="eastAsia" w:ascii="宋体" w:hAnsi="宋体" w:cs="宋体"/>
                <w:color w:val="000000"/>
                <w:kern w:val="0"/>
                <w:sz w:val="21"/>
                <w:szCs w:val="21"/>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hint="eastAsia" w:ascii="宋体" w:hAnsi="宋体" w:cs="宋体"/>
                <w:color w:val="000000"/>
                <w:kern w:val="0"/>
                <w:sz w:val="21"/>
                <w:szCs w:val="21"/>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hint="eastAsia" w:ascii="宋体" w:hAnsi="宋体" w:cs="宋体"/>
                <w:color w:val="000000"/>
                <w:kern w:val="0"/>
                <w:sz w:val="21"/>
                <w:szCs w:val="21"/>
              </w:rPr>
              <w:t>上一年项目数量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spacing w:after="180"/>
              <w:jc w:val="center"/>
              <w:rPr>
                <w:sz w:val="21"/>
                <w:szCs w:val="21"/>
              </w:rPr>
            </w:pPr>
            <w:r>
              <w:rPr>
                <w:rFonts w:hint="eastAsia" w:ascii="宋体" w:hAnsi="宋体" w:cs="宋体"/>
                <w:color w:val="000000"/>
                <w:kern w:val="0"/>
                <w:sz w:val="21"/>
                <w:szCs w:val="21"/>
              </w:rPr>
              <w:t>本年增</w:t>
            </w:r>
            <w:r>
              <w:rPr>
                <w:rFonts w:ascii="宋体" w:hAnsi="宋体" w:cs="宋体"/>
                <w:color w:val="000000"/>
                <w:kern w:val="0"/>
                <w:sz w:val="21"/>
                <w:szCs w:val="21"/>
              </w:rPr>
              <w:t>/</w:t>
            </w:r>
            <w:r>
              <w:rPr>
                <w:rFonts w:hint="eastAsia" w:ascii="宋体" w:hAnsi="宋体" w:cs="宋体"/>
                <w:color w:val="000000"/>
                <w:kern w:val="0"/>
                <w:sz w:val="21"/>
                <w:szCs w:val="21"/>
              </w:rPr>
              <w:t>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hint="eastAsia" w:ascii="宋体" w:hAnsi="宋体" w:cs="宋体"/>
                <w:color w:val="000000"/>
                <w:kern w:val="0"/>
                <w:sz w:val="21"/>
                <w:szCs w:val="21"/>
              </w:rPr>
              <w:t>行政事业性收费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hint="eastAsia" w:ascii="宋体" w:hAnsi="宋体" w:cs="宋体"/>
                <w:color w:val="000000"/>
                <w:kern w:val="0"/>
                <w:sz w:val="21"/>
                <w:szCs w:val="21"/>
              </w:rPr>
              <w:t>　</w:t>
            </w:r>
            <w:r>
              <w:rPr>
                <w:rFonts w:ascii="宋体" w:cs="宋体"/>
                <w:color w:val="000000"/>
                <w:kern w:val="0"/>
                <w:sz w:val="21"/>
                <w:szCs w:val="21"/>
              </w:rPr>
              <w:t>0</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widowControl/>
              <w:spacing w:after="180"/>
              <w:jc w:val="left"/>
              <w:rPr>
                <w:sz w:val="21"/>
                <w:szCs w:val="21"/>
              </w:rPr>
            </w:pPr>
            <w:r>
              <w:rPr>
                <w:rFonts w:ascii="宋体" w:cs="宋体"/>
                <w:color w:val="000000"/>
                <w:kern w:val="0"/>
                <w:sz w:val="21"/>
                <w:szCs w:val="21"/>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after="180"/>
              <w:jc w:val="center"/>
              <w:rPr>
                <w:sz w:val="21"/>
                <w:szCs w:val="21"/>
              </w:rPr>
            </w:pPr>
            <w:r>
              <w:rPr>
                <w:rFonts w:hint="eastAsia" w:ascii="宋体" w:hAnsi="宋体" w:cs="宋体"/>
                <w:color w:val="000000"/>
                <w:kern w:val="0"/>
                <w:sz w:val="21"/>
                <w:szCs w:val="21"/>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hint="eastAsia" w:ascii="宋体" w:hAnsi="宋体" w:cs="宋体"/>
                <w:color w:val="000000"/>
                <w:kern w:val="0"/>
                <w:sz w:val="21"/>
                <w:szCs w:val="21"/>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hint="eastAsia" w:ascii="宋体" w:hAnsi="宋体" w:cs="宋体"/>
                <w:color w:val="000000"/>
                <w:kern w:val="0"/>
                <w:sz w:val="21"/>
                <w:szCs w:val="21"/>
              </w:rPr>
              <w:t>采购项目数量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spacing w:after="180"/>
              <w:jc w:val="center"/>
              <w:rPr>
                <w:sz w:val="21"/>
                <w:szCs w:val="21"/>
              </w:rPr>
            </w:pPr>
            <w:r>
              <w:rPr>
                <w:rFonts w:hint="eastAsia" w:ascii="宋体" w:hAnsi="宋体" w:cs="宋体"/>
                <w:color w:val="000000"/>
                <w:kern w:val="0"/>
                <w:sz w:val="21"/>
                <w:szCs w:val="21"/>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hint="eastAsia" w:ascii="宋体" w:hAnsi="宋体" w:cs="宋体"/>
                <w:color w:val="000000"/>
                <w:kern w:val="0"/>
                <w:sz w:val="21"/>
                <w:szCs w:val="21"/>
              </w:rPr>
              <w:t>政府集中采购</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rPr>
                <w:rFonts w:hint="eastAsia" w:eastAsia="宋体"/>
                <w:sz w:val="21"/>
                <w:szCs w:val="21"/>
                <w:lang w:val="en-US" w:eastAsia="zh-CN"/>
              </w:rPr>
            </w:pPr>
            <w:r>
              <w:rPr>
                <w:rFonts w:hint="eastAsia" w:ascii="宋体" w:hAnsi="宋体" w:cs="宋体"/>
                <w:color w:val="000000"/>
                <w:kern w:val="0"/>
                <w:sz w:val="21"/>
                <w:szCs w:val="21"/>
              </w:rPr>
              <w:t>　</w:t>
            </w:r>
            <w:r>
              <w:rPr>
                <w:rFonts w:hint="eastAsia" w:ascii="宋体" w:hAnsi="宋体" w:cs="宋体"/>
                <w:color w:val="000000"/>
                <w:kern w:val="0"/>
                <w:sz w:val="21"/>
                <w:szCs w:val="21"/>
                <w:lang w:val="en-US" w:eastAsia="zh-CN"/>
              </w:rPr>
              <w:t>0</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ind w:firstLine="210" w:firstLineChars="100"/>
              <w:jc w:val="left"/>
              <w:rPr>
                <w:rFonts w:hint="eastAsia" w:ascii="宋体" w:eastAsia="宋体"/>
                <w:sz w:val="21"/>
                <w:szCs w:val="21"/>
                <w:lang w:eastAsia="zh-CN"/>
              </w:rPr>
            </w:pPr>
            <w:r>
              <w:rPr>
                <w:rFonts w:hint="eastAsia" w:ascii="宋体"/>
                <w:sz w:val="21"/>
                <w:szCs w:val="21"/>
                <w:lang w:val="en-US" w:eastAsia="zh-CN"/>
              </w:rPr>
              <w:t>0</w:t>
            </w:r>
          </w:p>
        </w:tc>
      </w:tr>
    </w:tbl>
    <w:p>
      <w:pPr>
        <w:pStyle w:val="2"/>
        <w:keepNext w:val="0"/>
        <w:keepLines w:val="0"/>
        <w:pageBreakBefore w:val="0"/>
        <w:widowControl/>
        <w:kinsoku/>
        <w:wordWrap/>
        <w:overflowPunct/>
        <w:topLinePunct w:val="0"/>
        <w:autoSpaceDE/>
        <w:autoSpaceDN/>
        <w:bidi w:val="0"/>
        <w:adjustRightInd/>
        <w:snapToGrid/>
        <w:spacing w:before="0" w:beforeAutospacing="0" w:after="240" w:afterAutospacing="0" w:line="240" w:lineRule="auto"/>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color w:val="333333"/>
          <w:sz w:val="32"/>
          <w:szCs w:val="32"/>
        </w:rPr>
        <w:t>三、收到和处理政府信息公开申请情况</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8"/>
        <w:gridCol w:w="854"/>
        <w:gridCol w:w="2086"/>
        <w:gridCol w:w="814"/>
        <w:gridCol w:w="755"/>
        <w:gridCol w:w="755"/>
        <w:gridCol w:w="814"/>
        <w:gridCol w:w="974"/>
        <w:gridCol w:w="712"/>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8"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hint="eastAsia" w:ascii="宋体" w:hAnsi="宋体" w:cs="宋体"/>
                <w:kern w:val="0"/>
                <w:sz w:val="21"/>
                <w:szCs w:val="21"/>
              </w:rPr>
              <w:t>（本列数据的勾稽关系为：第一项加第二项之和，等于第三项加第四项之和）</w:t>
            </w:r>
          </w:p>
        </w:tc>
        <w:tc>
          <w:tcPr>
            <w:tcW w:w="5513" w:type="dxa"/>
            <w:gridSpan w:val="7"/>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hint="eastAsia" w:ascii="宋体" w:hAnsi="宋体" w:cs="宋体"/>
                <w:kern w:val="0"/>
                <w:sz w:val="21"/>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8"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1"/>
                <w:szCs w:val="21"/>
              </w:rPr>
            </w:pPr>
          </w:p>
        </w:tc>
        <w:tc>
          <w:tcPr>
            <w:tcW w:w="814"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hint="eastAsia" w:ascii="宋体" w:hAnsi="宋体" w:cs="宋体"/>
                <w:kern w:val="0"/>
                <w:sz w:val="21"/>
                <w:szCs w:val="21"/>
              </w:rPr>
              <w:t>自然人</w:t>
            </w:r>
          </w:p>
        </w:tc>
        <w:tc>
          <w:tcPr>
            <w:tcW w:w="401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hint="eastAsia" w:ascii="宋体" w:hAnsi="宋体" w:cs="宋体"/>
                <w:kern w:val="0"/>
                <w:sz w:val="21"/>
                <w:szCs w:val="21"/>
              </w:rPr>
              <w:t>法人或其他组织</w:t>
            </w:r>
          </w:p>
        </w:tc>
        <w:tc>
          <w:tcPr>
            <w:tcW w:w="689"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hint="eastAsia" w:ascii="宋体" w:hAnsi="宋体" w:cs="宋体"/>
                <w:kern w:val="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8"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1"/>
                <w:szCs w:val="21"/>
              </w:rPr>
            </w:pPr>
          </w:p>
        </w:tc>
        <w:tc>
          <w:tcPr>
            <w:tcW w:w="81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1"/>
                <w:szCs w:val="21"/>
              </w:rPr>
            </w:pP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hint="eastAsia" w:ascii="宋体" w:hAnsi="宋体" w:cs="宋体"/>
                <w:kern w:val="0"/>
                <w:sz w:val="21"/>
                <w:szCs w:val="21"/>
              </w:rPr>
              <w:t>商业企业</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hint="eastAsia" w:ascii="宋体" w:hAnsi="宋体" w:cs="宋体"/>
                <w:kern w:val="0"/>
                <w:sz w:val="21"/>
                <w:szCs w:val="21"/>
              </w:rPr>
              <w:t>科研机构</w:t>
            </w:r>
          </w:p>
        </w:tc>
        <w:tc>
          <w:tcPr>
            <w:tcW w:w="814"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hint="eastAsia" w:ascii="宋体" w:hAnsi="宋体" w:cs="宋体"/>
                <w:kern w:val="0"/>
                <w:sz w:val="21"/>
                <w:szCs w:val="21"/>
              </w:rPr>
              <w:t>社会公益组织</w:t>
            </w:r>
          </w:p>
        </w:tc>
        <w:tc>
          <w:tcPr>
            <w:tcW w:w="974"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hint="eastAsia" w:ascii="宋体" w:hAnsi="宋体" w:cs="宋体"/>
                <w:kern w:val="0"/>
                <w:sz w:val="21"/>
                <w:szCs w:val="21"/>
              </w:rPr>
              <w:t>法律服务机构</w:t>
            </w:r>
          </w:p>
        </w:tc>
        <w:tc>
          <w:tcPr>
            <w:tcW w:w="712"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hint="eastAsia" w:ascii="宋体" w:hAnsi="宋体" w:cs="宋体"/>
                <w:kern w:val="0"/>
                <w:sz w:val="21"/>
                <w:szCs w:val="21"/>
              </w:rPr>
              <w:t>其他</w:t>
            </w:r>
          </w:p>
        </w:tc>
        <w:tc>
          <w:tcPr>
            <w:tcW w:w="689"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8"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hint="eastAsia" w:ascii="宋体" w:hAnsi="宋体" w:cs="宋体"/>
                <w:kern w:val="0"/>
                <w:sz w:val="21"/>
                <w:szCs w:val="21"/>
              </w:rPr>
              <w:t>一、本年新收政府信息公开申请数量</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1</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8"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hint="eastAsia" w:ascii="宋体" w:hAnsi="宋体" w:cs="宋体"/>
                <w:kern w:val="0"/>
                <w:sz w:val="21"/>
                <w:szCs w:val="21"/>
              </w:rPr>
              <w:t>二、上年结转政府信息公开申请数量</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hint="eastAsia" w:ascii="宋体" w:hAnsi="宋体" w:cs="宋体"/>
                <w:kern w:val="0"/>
                <w:sz w:val="21"/>
                <w:szCs w:val="21"/>
              </w:rPr>
              <w:t>三、本年度办理结果</w:t>
            </w: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hint="eastAsia" w:ascii="楷体" w:hAnsi="楷体" w:eastAsia="楷体" w:cs="楷体"/>
                <w:kern w:val="0"/>
                <w:sz w:val="21"/>
                <w:szCs w:val="21"/>
              </w:rPr>
              <w:t>（一）予以公开</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689"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1"/>
                <w:szCs w:val="21"/>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hint="eastAsia" w:ascii="楷体" w:hAnsi="楷体" w:eastAsia="楷体" w:cs="楷体"/>
                <w:kern w:val="0"/>
                <w:sz w:val="21"/>
                <w:szCs w:val="21"/>
              </w:rPr>
              <w:t>（二）部分公开（区分处理的，只计这一情形，不计其他情形）</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1"/>
                <w:szCs w:val="21"/>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hint="eastAsia" w:ascii="楷体" w:hAnsi="楷体" w:eastAsia="楷体" w:cs="楷体"/>
                <w:kern w:val="0"/>
                <w:sz w:val="21"/>
                <w:szCs w:val="21"/>
              </w:rPr>
              <w:t>（三）不予公开</w:t>
            </w: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ascii="楷体" w:hAnsi="楷体" w:eastAsia="楷体" w:cs="楷体"/>
                <w:kern w:val="0"/>
                <w:sz w:val="21"/>
                <w:szCs w:val="21"/>
              </w:rPr>
              <w:t>1.</w:t>
            </w:r>
            <w:r>
              <w:rPr>
                <w:rFonts w:hint="eastAsia" w:ascii="楷体" w:hAnsi="楷体" w:eastAsia="楷体" w:cs="楷体"/>
                <w:kern w:val="0"/>
                <w:sz w:val="21"/>
                <w:szCs w:val="21"/>
              </w:rPr>
              <w:t>属于国家秘密</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689"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1"/>
                <w:szCs w:val="21"/>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1"/>
                <w:szCs w:val="21"/>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ascii="楷体" w:hAnsi="楷体" w:eastAsia="楷体" w:cs="楷体"/>
                <w:kern w:val="0"/>
                <w:sz w:val="21"/>
                <w:szCs w:val="21"/>
              </w:rPr>
              <w:t>2.</w:t>
            </w:r>
            <w:r>
              <w:rPr>
                <w:rFonts w:hint="eastAsia" w:ascii="楷体" w:hAnsi="楷体" w:eastAsia="楷体" w:cs="楷体"/>
                <w:kern w:val="0"/>
                <w:sz w:val="21"/>
                <w:szCs w:val="21"/>
              </w:rPr>
              <w:t>其他法律行政法规禁止公开</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1"/>
                <w:szCs w:val="21"/>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1"/>
                <w:szCs w:val="21"/>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ascii="楷体" w:hAnsi="楷体" w:eastAsia="楷体" w:cs="楷体"/>
                <w:kern w:val="0"/>
                <w:sz w:val="21"/>
                <w:szCs w:val="21"/>
              </w:rPr>
              <w:t>3.</w:t>
            </w:r>
            <w:r>
              <w:rPr>
                <w:rFonts w:hint="eastAsia" w:ascii="楷体" w:hAnsi="楷体" w:eastAsia="楷体" w:cs="楷体"/>
                <w:kern w:val="0"/>
                <w:sz w:val="21"/>
                <w:szCs w:val="21"/>
              </w:rPr>
              <w:t>危及“三安全一稳定”</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1"/>
                <w:szCs w:val="21"/>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1"/>
                <w:szCs w:val="21"/>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ascii="楷体" w:hAnsi="楷体" w:eastAsia="楷体" w:cs="楷体"/>
                <w:kern w:val="0"/>
                <w:sz w:val="21"/>
                <w:szCs w:val="21"/>
              </w:rPr>
              <w:t>4.</w:t>
            </w:r>
            <w:r>
              <w:rPr>
                <w:rFonts w:hint="eastAsia" w:ascii="楷体" w:hAnsi="楷体" w:eastAsia="楷体" w:cs="楷体"/>
                <w:kern w:val="0"/>
                <w:sz w:val="21"/>
                <w:szCs w:val="21"/>
              </w:rPr>
              <w:t>保护第三方合法权益</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1"/>
                <w:szCs w:val="21"/>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1"/>
                <w:szCs w:val="21"/>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ascii="楷体" w:hAnsi="楷体" w:eastAsia="楷体" w:cs="楷体"/>
                <w:kern w:val="0"/>
                <w:sz w:val="21"/>
                <w:szCs w:val="21"/>
              </w:rPr>
              <w:t>5.</w:t>
            </w:r>
            <w:r>
              <w:rPr>
                <w:rFonts w:hint="eastAsia" w:ascii="楷体" w:hAnsi="楷体" w:eastAsia="楷体" w:cs="楷体"/>
                <w:kern w:val="0"/>
                <w:sz w:val="21"/>
                <w:szCs w:val="21"/>
              </w:rPr>
              <w:t>属于三类内部事务信息</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1"/>
                <w:szCs w:val="21"/>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1"/>
                <w:szCs w:val="21"/>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ascii="楷体" w:hAnsi="楷体" w:eastAsia="楷体" w:cs="楷体"/>
                <w:kern w:val="0"/>
                <w:sz w:val="21"/>
                <w:szCs w:val="21"/>
              </w:rPr>
              <w:t>6.</w:t>
            </w:r>
            <w:r>
              <w:rPr>
                <w:rFonts w:hint="eastAsia" w:ascii="楷体" w:hAnsi="楷体" w:eastAsia="楷体" w:cs="楷体"/>
                <w:kern w:val="0"/>
                <w:sz w:val="21"/>
                <w:szCs w:val="21"/>
              </w:rPr>
              <w:t>属于四类过程性信息</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1"/>
                <w:szCs w:val="21"/>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1"/>
                <w:szCs w:val="21"/>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ascii="楷体" w:hAnsi="楷体" w:eastAsia="楷体" w:cs="楷体"/>
                <w:kern w:val="0"/>
                <w:sz w:val="21"/>
                <w:szCs w:val="21"/>
              </w:rPr>
              <w:t>7.</w:t>
            </w:r>
            <w:r>
              <w:rPr>
                <w:rFonts w:hint="eastAsia" w:ascii="楷体" w:hAnsi="楷体" w:eastAsia="楷体" w:cs="楷体"/>
                <w:kern w:val="0"/>
                <w:sz w:val="21"/>
                <w:szCs w:val="21"/>
              </w:rPr>
              <w:t>属于行政执法案卷</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1"/>
                <w:szCs w:val="21"/>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1"/>
                <w:szCs w:val="21"/>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ascii="楷体" w:hAnsi="楷体" w:eastAsia="楷体" w:cs="楷体"/>
                <w:kern w:val="0"/>
                <w:sz w:val="21"/>
                <w:szCs w:val="21"/>
              </w:rPr>
              <w:t>8.</w:t>
            </w:r>
            <w:r>
              <w:rPr>
                <w:rFonts w:hint="eastAsia" w:ascii="楷体" w:hAnsi="楷体" w:eastAsia="楷体" w:cs="楷体"/>
                <w:kern w:val="0"/>
                <w:sz w:val="21"/>
                <w:szCs w:val="21"/>
              </w:rPr>
              <w:t>属于行政查询事项</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1"/>
                <w:szCs w:val="21"/>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hint="eastAsia" w:ascii="楷体" w:hAnsi="楷体" w:eastAsia="楷体" w:cs="楷体"/>
                <w:kern w:val="0"/>
                <w:sz w:val="21"/>
                <w:szCs w:val="21"/>
              </w:rPr>
              <w:t>（四）无法提供</w:t>
            </w: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ascii="楷体" w:hAnsi="楷体" w:eastAsia="楷体" w:cs="楷体"/>
                <w:kern w:val="0"/>
                <w:sz w:val="21"/>
                <w:szCs w:val="21"/>
              </w:rPr>
              <w:t>1.</w:t>
            </w:r>
            <w:r>
              <w:rPr>
                <w:rFonts w:hint="eastAsia" w:ascii="楷体" w:hAnsi="楷体" w:eastAsia="楷体" w:cs="楷体"/>
                <w:kern w:val="0"/>
                <w:sz w:val="21"/>
                <w:szCs w:val="21"/>
              </w:rPr>
              <w:t>本机关不掌握相关政府信息</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1</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1"/>
                <w:szCs w:val="21"/>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1"/>
                <w:szCs w:val="21"/>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ascii="楷体" w:hAnsi="楷体" w:eastAsia="楷体" w:cs="楷体"/>
                <w:kern w:val="0"/>
                <w:sz w:val="21"/>
                <w:szCs w:val="21"/>
              </w:rPr>
              <w:t>2.</w:t>
            </w:r>
            <w:r>
              <w:rPr>
                <w:rFonts w:hint="eastAsia" w:ascii="楷体" w:hAnsi="楷体" w:eastAsia="楷体" w:cs="楷体"/>
                <w:kern w:val="0"/>
                <w:sz w:val="21"/>
                <w:szCs w:val="21"/>
              </w:rPr>
              <w:t>没有现成信息需要另行制作</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1"/>
                <w:szCs w:val="21"/>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1"/>
                <w:szCs w:val="21"/>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ascii="楷体" w:hAnsi="楷体" w:eastAsia="楷体" w:cs="楷体"/>
                <w:kern w:val="0"/>
                <w:sz w:val="21"/>
                <w:szCs w:val="21"/>
              </w:rPr>
              <w:t>3.</w:t>
            </w:r>
            <w:r>
              <w:rPr>
                <w:rFonts w:hint="eastAsia" w:ascii="楷体" w:hAnsi="楷体" w:eastAsia="楷体" w:cs="楷体"/>
                <w:kern w:val="0"/>
                <w:sz w:val="21"/>
                <w:szCs w:val="21"/>
              </w:rPr>
              <w:t>补正后申请内容仍不明确</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1"/>
                <w:szCs w:val="21"/>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hint="eastAsia" w:ascii="楷体" w:hAnsi="楷体" w:eastAsia="楷体" w:cs="楷体"/>
                <w:kern w:val="0"/>
                <w:sz w:val="21"/>
                <w:szCs w:val="21"/>
              </w:rPr>
              <w:t>（五）不予处理</w:t>
            </w: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ascii="楷体" w:hAnsi="楷体" w:eastAsia="楷体" w:cs="楷体"/>
                <w:kern w:val="0"/>
                <w:sz w:val="21"/>
                <w:szCs w:val="21"/>
              </w:rPr>
              <w:t>1.</w:t>
            </w:r>
            <w:r>
              <w:rPr>
                <w:rFonts w:hint="eastAsia" w:ascii="楷体" w:hAnsi="楷体" w:eastAsia="楷体" w:cs="楷体"/>
                <w:kern w:val="0"/>
                <w:sz w:val="21"/>
                <w:szCs w:val="21"/>
              </w:rPr>
              <w:t>信访举报投诉类申请</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1"/>
                <w:szCs w:val="21"/>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1"/>
                <w:szCs w:val="21"/>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ascii="楷体" w:hAnsi="楷体" w:eastAsia="楷体" w:cs="楷体"/>
                <w:kern w:val="0"/>
                <w:sz w:val="21"/>
                <w:szCs w:val="21"/>
              </w:rPr>
              <w:t>2.</w:t>
            </w:r>
            <w:r>
              <w:rPr>
                <w:rFonts w:hint="eastAsia" w:ascii="楷体" w:hAnsi="楷体" w:eastAsia="楷体" w:cs="楷体"/>
                <w:kern w:val="0"/>
                <w:sz w:val="21"/>
                <w:szCs w:val="21"/>
              </w:rPr>
              <w:t>重复申请</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1"/>
                <w:szCs w:val="21"/>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1"/>
                <w:szCs w:val="21"/>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ascii="楷体" w:hAnsi="楷体" w:eastAsia="楷体" w:cs="楷体"/>
                <w:kern w:val="0"/>
                <w:sz w:val="21"/>
                <w:szCs w:val="21"/>
              </w:rPr>
              <w:t>3.</w:t>
            </w:r>
            <w:r>
              <w:rPr>
                <w:rFonts w:hint="eastAsia" w:ascii="楷体" w:hAnsi="楷体" w:eastAsia="楷体" w:cs="楷体"/>
                <w:kern w:val="0"/>
                <w:sz w:val="21"/>
                <w:szCs w:val="21"/>
              </w:rPr>
              <w:t>要求提供公开出版物</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1"/>
                <w:szCs w:val="21"/>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1"/>
                <w:szCs w:val="21"/>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ascii="楷体" w:hAnsi="楷体" w:eastAsia="楷体" w:cs="楷体"/>
                <w:kern w:val="0"/>
                <w:sz w:val="21"/>
                <w:szCs w:val="21"/>
              </w:rPr>
              <w:t>4.</w:t>
            </w:r>
            <w:r>
              <w:rPr>
                <w:rFonts w:hint="eastAsia" w:ascii="楷体" w:hAnsi="楷体" w:eastAsia="楷体" w:cs="楷体"/>
                <w:kern w:val="0"/>
                <w:sz w:val="21"/>
                <w:szCs w:val="21"/>
              </w:rPr>
              <w:t>无正当理由大量反复申请</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1"/>
                <w:szCs w:val="21"/>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1"/>
                <w:szCs w:val="21"/>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ascii="楷体" w:hAnsi="楷体" w:eastAsia="楷体" w:cs="楷体"/>
                <w:kern w:val="0"/>
                <w:sz w:val="21"/>
                <w:szCs w:val="21"/>
              </w:rPr>
              <w:t>5.</w:t>
            </w:r>
            <w:r>
              <w:rPr>
                <w:rFonts w:hint="eastAsia" w:ascii="楷体" w:hAnsi="楷体" w:eastAsia="楷体" w:cs="楷体"/>
                <w:kern w:val="0"/>
                <w:sz w:val="21"/>
                <w:szCs w:val="21"/>
              </w:rPr>
              <w:t>要求行政机关确认或重新出具已获取信息</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1"/>
                <w:szCs w:val="21"/>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hint="eastAsia" w:ascii="楷体" w:hAnsi="楷体" w:eastAsia="楷体" w:cs="楷体"/>
                <w:kern w:val="0"/>
                <w:sz w:val="21"/>
                <w:szCs w:val="21"/>
              </w:rPr>
              <w:t>（六）其他处理</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1"/>
                <w:szCs w:val="21"/>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hint="eastAsia" w:ascii="楷体" w:hAnsi="楷体" w:eastAsia="楷体" w:cs="楷体"/>
                <w:kern w:val="0"/>
                <w:sz w:val="21"/>
                <w:szCs w:val="21"/>
              </w:rPr>
              <w:t>（七）总计</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1</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689"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8"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left"/>
              <w:rPr>
                <w:sz w:val="21"/>
                <w:szCs w:val="21"/>
              </w:rPr>
            </w:pPr>
            <w:r>
              <w:rPr>
                <w:rFonts w:hint="eastAsia" w:ascii="宋体" w:hAnsi="宋体" w:cs="宋体"/>
                <w:kern w:val="0"/>
                <w:sz w:val="21"/>
                <w:szCs w:val="21"/>
              </w:rPr>
              <w:t>四、结转下年度继续办理</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97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689" w:type="dxa"/>
            <w:tcBorders>
              <w:top w:val="nil"/>
              <w:left w:val="nil"/>
              <w:bottom w:val="single" w:color="auto" w:sz="8" w:space="0"/>
              <w:right w:val="single" w:color="auto" w:sz="8" w:space="0"/>
            </w:tcBorders>
            <w:tcMar>
              <w:left w:w="108" w:type="dxa"/>
              <w:right w:w="108" w:type="dxa"/>
            </w:tcMar>
            <w:vAlign w:val="center"/>
          </w:tcPr>
          <w:p>
            <w:pPr>
              <w:jc w:val="center"/>
              <w:rPr>
                <w:rFonts w:ascii="宋体"/>
                <w:sz w:val="21"/>
                <w:szCs w:val="21"/>
              </w:rPr>
            </w:pPr>
            <w:r>
              <w:rPr>
                <w:rFonts w:ascii="宋体"/>
                <w:sz w:val="21"/>
                <w:szCs w:val="21"/>
              </w:rPr>
              <w:t>0</w:t>
            </w:r>
          </w:p>
        </w:tc>
      </w:tr>
    </w:tbl>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420" w:firstLineChars="200"/>
        <w:jc w:val="both"/>
        <w:textAlignment w:val="auto"/>
        <w:rPr>
          <w:rFonts w:hint="eastAsia" w:ascii="黑体" w:hAnsi="黑体" w:eastAsia="黑体" w:cs="黑体"/>
          <w:b w:val="0"/>
          <w:bCs/>
          <w:color w:val="333333"/>
          <w:sz w:val="21"/>
          <w:szCs w:val="21"/>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color w:val="333333"/>
          <w:sz w:val="32"/>
          <w:szCs w:val="32"/>
        </w:rPr>
        <w:t>四、政府信息公开行政复议、行政诉讼情况</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hint="eastAsia" w:ascii="宋体" w:hAnsi="宋体" w:cs="宋体"/>
                <w:kern w:val="0"/>
                <w:sz w:val="21"/>
                <w:szCs w:val="21"/>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hint="eastAsia" w:ascii="宋体" w:hAnsi="宋体" w:cs="宋体"/>
                <w:kern w:val="0"/>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hint="eastAsia" w:ascii="宋体" w:hAnsi="宋体" w:cs="宋体"/>
                <w:kern w:val="0"/>
                <w:sz w:val="21"/>
                <w:szCs w:val="21"/>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hint="eastAsia" w:ascii="宋体" w:hAnsi="宋体" w:cs="宋体"/>
                <w:kern w:val="0"/>
                <w:sz w:val="21"/>
                <w:szCs w:val="21"/>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hint="eastAsia" w:ascii="宋体" w:hAnsi="宋体" w:cs="宋体"/>
                <w:kern w:val="0"/>
                <w:sz w:val="21"/>
                <w:szCs w:val="21"/>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hint="eastAsia" w:ascii="宋体" w:hAnsi="宋体" w:cs="宋体"/>
                <w:kern w:val="0"/>
                <w:sz w:val="21"/>
                <w:szCs w:val="21"/>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hint="eastAsia" w:ascii="宋体" w:hAnsi="宋体" w:cs="宋体"/>
                <w:kern w:val="0"/>
                <w:sz w:val="21"/>
                <w:szCs w:val="21"/>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hint="eastAsia" w:ascii="宋体" w:hAnsi="宋体" w:cs="宋体"/>
                <w:kern w:val="0"/>
                <w:sz w:val="21"/>
                <w:szCs w:val="21"/>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hint="eastAsia" w:ascii="宋体" w:hAnsi="宋体" w:cs="宋体"/>
                <w:kern w:val="0"/>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1"/>
                <w:szCs w:val="21"/>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rPr>
                <w:rFonts w:ascii="宋体"/>
                <w:sz w:val="21"/>
                <w:szCs w:val="21"/>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宋体"/>
                <w:sz w:val="21"/>
                <w:szCs w:val="21"/>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宋体"/>
                <w:sz w:val="21"/>
                <w:szCs w:val="21"/>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ascii="宋体"/>
                <w:sz w:val="21"/>
                <w:szCs w:val="21"/>
              </w:rPr>
            </w:pPr>
          </w:p>
        </w:tc>
        <w:tc>
          <w:tcPr>
            <w:tcW w:w="55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hint="eastAsia" w:ascii="宋体" w:hAnsi="宋体" w:cs="宋体"/>
                <w:kern w:val="0"/>
                <w:sz w:val="21"/>
                <w:szCs w:val="21"/>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hint="eastAsia" w:ascii="宋体" w:hAnsi="宋体" w:cs="宋体"/>
                <w:kern w:val="0"/>
                <w:sz w:val="21"/>
                <w:szCs w:val="21"/>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hint="eastAsia" w:ascii="宋体" w:hAnsi="宋体" w:cs="宋体"/>
                <w:kern w:val="0"/>
                <w:sz w:val="21"/>
                <w:szCs w:val="21"/>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hint="eastAsia" w:ascii="宋体" w:hAnsi="宋体" w:cs="宋体"/>
                <w:kern w:val="0"/>
                <w:sz w:val="21"/>
                <w:szCs w:val="21"/>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hint="eastAsia" w:ascii="宋体" w:hAnsi="宋体" w:cs="宋体"/>
                <w:color w:val="000000"/>
                <w:kern w:val="0"/>
                <w:sz w:val="21"/>
                <w:szCs w:val="21"/>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hint="eastAsia" w:ascii="宋体" w:hAnsi="宋体" w:cs="宋体"/>
                <w:kern w:val="0"/>
                <w:sz w:val="21"/>
                <w:szCs w:val="21"/>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hint="eastAsia" w:ascii="宋体" w:hAnsi="宋体" w:cs="宋体"/>
                <w:kern w:val="0"/>
                <w:sz w:val="21"/>
                <w:szCs w:val="21"/>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hint="eastAsia" w:ascii="宋体" w:hAnsi="宋体" w:cs="宋体"/>
                <w:color w:val="000000"/>
                <w:kern w:val="0"/>
                <w:sz w:val="21"/>
                <w:szCs w:val="21"/>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hint="eastAsia" w:ascii="宋体" w:hAnsi="宋体" w:cs="宋体"/>
                <w:kern w:val="0"/>
                <w:sz w:val="21"/>
                <w:szCs w:val="21"/>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hint="eastAsia" w:ascii="宋体" w:hAnsi="宋体" w:cs="宋体"/>
                <w:color w:val="000000"/>
                <w:kern w:val="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cs="Calibri"/>
                <w:kern w:val="0"/>
                <w:sz w:val="21"/>
                <w:szCs w:val="21"/>
              </w:rPr>
              <w:t>0</w:t>
            </w:r>
          </w:p>
        </w:tc>
        <w:tc>
          <w:tcPr>
            <w:tcW w:w="550"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ascii="宋体" w:cs="宋体"/>
                <w:kern w:val="0"/>
                <w:sz w:val="21"/>
                <w:szCs w:val="21"/>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ascii="宋体" w:cs="宋体"/>
                <w:kern w:val="0"/>
                <w:sz w:val="21"/>
                <w:szCs w:val="21"/>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ascii="宋体" w:cs="宋体"/>
                <w:kern w:val="0"/>
                <w:sz w:val="21"/>
                <w:szCs w:val="21"/>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ascii="宋体" w:cs="宋体"/>
                <w:kern w:val="0"/>
                <w:sz w:val="21"/>
                <w:szCs w:val="21"/>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ascii="宋体" w:cs="宋体"/>
                <w:color w:val="000000"/>
                <w:kern w:val="0"/>
                <w:sz w:val="21"/>
                <w:szCs w:val="21"/>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ascii="宋体" w:cs="宋体"/>
                <w:kern w:val="0"/>
                <w:sz w:val="21"/>
                <w:szCs w:val="21"/>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ascii="宋体" w:cs="宋体"/>
                <w:kern w:val="0"/>
                <w:sz w:val="21"/>
                <w:szCs w:val="21"/>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ascii="宋体" w:cs="宋体"/>
                <w:color w:val="000000"/>
                <w:kern w:val="0"/>
                <w:sz w:val="21"/>
                <w:szCs w:val="21"/>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spacing w:after="180"/>
              <w:jc w:val="center"/>
              <w:rPr>
                <w:sz w:val="21"/>
                <w:szCs w:val="21"/>
              </w:rPr>
            </w:pPr>
            <w:r>
              <w:rPr>
                <w:rFonts w:ascii="宋体" w:cs="宋体"/>
                <w:kern w:val="0"/>
                <w:sz w:val="21"/>
                <w:szCs w:val="21"/>
              </w:rPr>
              <w:t>0</w:t>
            </w:r>
          </w:p>
        </w:tc>
        <w:tc>
          <w:tcPr>
            <w:tcW w:w="606" w:type="dxa"/>
            <w:tcBorders>
              <w:top w:val="nil"/>
              <w:left w:val="nil"/>
              <w:bottom w:val="single" w:color="auto" w:sz="8" w:space="0"/>
              <w:right w:val="single" w:color="auto" w:sz="8" w:space="0"/>
            </w:tcBorders>
            <w:tcMar>
              <w:left w:w="108" w:type="dxa"/>
              <w:right w:w="108" w:type="dxa"/>
            </w:tcMar>
            <w:vAlign w:val="center"/>
          </w:tcPr>
          <w:p>
            <w:pPr>
              <w:jc w:val="center"/>
              <w:rPr>
                <w:rFonts w:ascii="宋体"/>
                <w:sz w:val="21"/>
                <w:szCs w:val="21"/>
              </w:rPr>
            </w:pPr>
            <w:r>
              <w:rPr>
                <w:rFonts w:ascii="宋体"/>
                <w:sz w:val="21"/>
                <w:szCs w:val="21"/>
              </w:rPr>
              <w:t>0</w:t>
            </w:r>
          </w:p>
        </w:tc>
      </w:tr>
    </w:tbl>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3" w:firstLineChars="200"/>
        <w:jc w:val="both"/>
        <w:textAlignment w:val="auto"/>
        <w:rPr>
          <w:rFonts w:hint="eastAsia" w:ascii="黑体" w:hAnsi="黑体" w:eastAsia="黑体" w:cs="黑体"/>
          <w:b/>
          <w:color w:val="333333"/>
          <w:sz w:val="32"/>
          <w:szCs w:val="32"/>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color w:val="333333"/>
          <w:sz w:val="32"/>
          <w:szCs w:val="32"/>
        </w:rPr>
        <w:t>五、存在的主要问题及改进情况</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kern w:val="2"/>
          <w:sz w:val="21"/>
        </w:rPr>
      </w:pPr>
      <w:r>
        <w:rPr>
          <w:rFonts w:hint="eastAsia" w:ascii="仿宋_GB2312" w:hAnsi="仿宋_GB2312" w:eastAsia="仿宋_GB2312" w:cs="仿宋_GB2312"/>
          <w:kern w:val="2"/>
          <w:sz w:val="32"/>
          <w:szCs w:val="32"/>
          <w:lang w:eastAsia="zh-CN"/>
        </w:rPr>
        <w:t>宁海县支行</w:t>
      </w:r>
      <w:r>
        <w:rPr>
          <w:rFonts w:hint="eastAsia" w:ascii="仿宋_GB2312" w:hAnsi="仿宋_GB2312" w:eastAsia="仿宋_GB2312" w:cs="仿宋_GB2312"/>
          <w:kern w:val="2"/>
          <w:sz w:val="32"/>
          <w:szCs w:val="32"/>
        </w:rPr>
        <w:t>本着实事求是的原则，对照政府信息公开的标准和要求，认真查找本年度政府信息公开工作中存在的问题，</w:t>
      </w:r>
      <w:r>
        <w:rPr>
          <w:rFonts w:hint="eastAsia" w:ascii="仿宋_GB2312" w:hAnsi="仿宋_GB2312" w:eastAsia="仿宋_GB2312" w:cs="仿宋_GB2312"/>
          <w:kern w:val="2"/>
          <w:sz w:val="32"/>
          <w:szCs w:val="32"/>
          <w:lang w:eastAsia="zh-CN"/>
        </w:rPr>
        <w:t>积极落实整改。存在的问题</w:t>
      </w:r>
      <w:r>
        <w:rPr>
          <w:rFonts w:hint="eastAsia" w:ascii="仿宋_GB2312" w:hAnsi="仿宋_GB2312" w:eastAsia="仿宋_GB2312" w:cs="仿宋_GB2312"/>
          <w:kern w:val="2"/>
          <w:sz w:val="32"/>
          <w:szCs w:val="32"/>
        </w:rPr>
        <w:t>主要有以下两点：一是政务公开栏目更新不及时（第一季度）。二是未</w:t>
      </w:r>
      <w:r>
        <w:rPr>
          <w:rFonts w:hint="eastAsia" w:ascii="仿宋_GB2312" w:hAnsi="仿宋_GB2312" w:eastAsia="仿宋_GB2312" w:cs="仿宋_GB2312"/>
          <w:kern w:val="2"/>
          <w:sz w:val="32"/>
          <w:szCs w:val="32"/>
          <w:lang w:eastAsia="zh-CN"/>
        </w:rPr>
        <w:t>及时</w:t>
      </w:r>
      <w:r>
        <w:rPr>
          <w:rFonts w:hint="eastAsia" w:ascii="仿宋_GB2312" w:hAnsi="仿宋_GB2312" w:eastAsia="仿宋_GB2312" w:cs="仿宋_GB2312"/>
          <w:kern w:val="2"/>
          <w:sz w:val="32"/>
          <w:szCs w:val="32"/>
        </w:rPr>
        <w:t>公开本年度工作计划和上年度工作总结信息。针对存在的问题，</w:t>
      </w:r>
      <w:r>
        <w:rPr>
          <w:rFonts w:hint="eastAsia" w:ascii="仿宋_GB2312" w:hAnsi="仿宋_GB2312" w:eastAsia="仿宋_GB2312" w:cs="仿宋_GB2312"/>
          <w:kern w:val="2"/>
          <w:sz w:val="32"/>
          <w:szCs w:val="32"/>
          <w:lang w:val="en-US" w:eastAsia="zh-CN"/>
        </w:rPr>
        <w:t>宁海县支行</w:t>
      </w:r>
      <w:r>
        <w:rPr>
          <w:rFonts w:hint="eastAsia" w:ascii="仿宋_GB2312" w:hAnsi="仿宋_GB2312" w:eastAsia="仿宋_GB2312" w:cs="仿宋_GB2312"/>
          <w:kern w:val="2"/>
          <w:sz w:val="32"/>
          <w:szCs w:val="32"/>
          <w:lang w:eastAsia="zh-CN"/>
        </w:rPr>
        <w:t>认真制定整改措施，</w:t>
      </w:r>
      <w:r>
        <w:rPr>
          <w:rFonts w:hint="eastAsia" w:ascii="仿宋_GB2312" w:hAnsi="仿宋_GB2312" w:eastAsia="仿宋_GB2312" w:cs="仿宋_GB2312"/>
          <w:kern w:val="2"/>
          <w:sz w:val="32"/>
          <w:szCs w:val="32"/>
        </w:rPr>
        <w:t>已将未及时公开信息和本年度工作计划、上年度工作总结按要求进行公开，并指定专人负责政务公开工作，再次组织学习《中</w:t>
      </w:r>
      <w:r>
        <w:rPr>
          <w:rFonts w:hint="eastAsia" w:ascii="仿宋_GB2312" w:hAnsi="仿宋_GB2312" w:eastAsia="仿宋_GB2312" w:cs="仿宋_GB2312"/>
          <w:kern w:val="2"/>
          <w:sz w:val="32"/>
          <w:szCs w:val="32"/>
          <w:lang w:eastAsia="zh-CN"/>
        </w:rPr>
        <w:t>华</w:t>
      </w:r>
      <w:r>
        <w:rPr>
          <w:rFonts w:hint="eastAsia" w:ascii="仿宋_GB2312" w:hAnsi="仿宋_GB2312" w:eastAsia="仿宋_GB2312" w:cs="仿宋_GB2312"/>
          <w:kern w:val="2"/>
          <w:sz w:val="32"/>
          <w:szCs w:val="32"/>
        </w:rPr>
        <w:t>人民共和国政府信息公开条例》、《宁海县人民政府办公室关于印发2019年度政务信息等工作目标管理考核办法的通知》（宁政办明电〔2019〕22号），要求相关负责人员增强工作责任心，认真领会文件精神和要求，确保政务公开格式规范、更新及时、内容全面。</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color w:val="333333"/>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本年度无其他需要报告的事项。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A6C03AA"/>
    <w:rsid w:val="13A8660C"/>
    <w:rsid w:val="14AD3884"/>
    <w:rsid w:val="1CAA4C29"/>
    <w:rsid w:val="212C506D"/>
    <w:rsid w:val="225F01EE"/>
    <w:rsid w:val="270C60A4"/>
    <w:rsid w:val="344919E5"/>
    <w:rsid w:val="38807C88"/>
    <w:rsid w:val="42677C49"/>
    <w:rsid w:val="54FE4124"/>
    <w:rsid w:val="5DE21752"/>
    <w:rsid w:val="685A0844"/>
    <w:rsid w:val="75293B9B"/>
    <w:rsid w:val="768D7DEB"/>
    <w:rsid w:val="7D0E5CC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ocked="1"/>
    <w:lsdException w:uiPriority="0" w:name="footnote text" w:locked="1"/>
    <w:lsdException w:uiPriority="0" w:name="annotation text" w:locked="1"/>
    <w:lsdException w:uiPriority="0" w:name="header" w:locked="1"/>
    <w:lsdException w:uiPriority="0" w:name="footer" w:locked="1"/>
    <w:lsdException w:uiPriority="0" w:name="index heading" w:locked="1"/>
    <w:lsdException w:qFormat="1" w:uiPriority="35" w:name="caption" w:locked="1"/>
    <w:lsdException w:uiPriority="0" w:name="table of figures" w:locked="1"/>
    <w:lsdException w:uiPriority="0" w:name="envelope address" w:locked="1"/>
    <w:lsdException w:uiPriority="0" w:name="envelope return" w:locked="1"/>
    <w:lsdException w:uiPriority="0" w:name="footnote reference" w:locked="1"/>
    <w:lsdException w:uiPriority="0" w:name="annotation reference" w:locked="1"/>
    <w:lsdException w:uiPriority="0" w:name="line number" w:locked="1"/>
    <w:lsdException w:uiPriority="0" w:name="page number" w:locked="1"/>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10" w:semiHidden="0" w:name="Title" w:locked="1"/>
    <w:lsdException w:uiPriority="0" w:name="Closing" w:locked="1"/>
    <w:lsdException w:uiPriority="0" w:name="Signature" w:locked="1"/>
    <w:lsdException w:qFormat="1" w:unhideWhenUsed="0" w:uiPriority="99" w:name="Default Paragraph Font"/>
    <w:lsdException w:uiPriority="0" w:name="Body Text" w:locked="1"/>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11" w:semiHidden="0" w:name="Subtitle" w:locked="1"/>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uiPriority="0" w:name="Hyperlink" w:locked="1"/>
    <w:lsdException w:uiPriority="0" w:name="FollowedHyperlink" w:locked="1"/>
    <w:lsdException w:qFormat="1" w:unhideWhenUsed="0" w:uiPriority="22" w:semiHidden="0" w:name="Strong" w:locked="1"/>
    <w:lsdException w:qFormat="1" w:unhideWhenUsed="0" w:uiPriority="20" w:semiHidden="0" w:name="Emphasis" w:locked="1"/>
    <w:lsdException w:uiPriority="0" w:name="Document Map" w:locked="1"/>
    <w:lsdException w:uiPriority="0" w:name="Plain Text" w:locked="1"/>
    <w:lsdException w:uiPriority="0" w:name="E-mail Signature" w:locked="1"/>
    <w:lsdException w:qFormat="1" w:unhideWhenUsed="0" w:uiPriority="99" w:semiHidden="0" w:name="Normal (Web)"/>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name="Normal Table"/>
    <w:lsdException w:uiPriority="0" w:name="annotation subject" w:locked="1"/>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ocked="1"/>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99"/>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5</Pages>
  <Words>389</Words>
  <Characters>2218</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2020-01-09T00:56:00Z</dcterms:created>
  <dc:creator>chench</dc:creator>
  <cp:lastModifiedBy>chench</cp:lastModifiedBy>
  <cp:lastPrinted>2020-01-22T08:46:00Z</cp:lastPrinted>
  <dcterms:modified xsi:type="dcterms:W3CDTF">2020-05-13T07:15:19Z</dcterms:modified>
  <dc:title>中国人民银行宁海县支行2019年</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