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240" w:line="432" w:lineRule="atLeast"/>
        <w:ind w:firstLine="420"/>
        <w:jc w:val="center"/>
        <w:rPr>
          <w:rFonts w:asciiTheme="majorEastAsia" w:hAnsiTheme="majorEastAsia" w:eastAsiaTheme="majorEastAsia"/>
          <w:b/>
          <w:color w:val="333333"/>
          <w:sz w:val="36"/>
          <w:szCs w:val="36"/>
        </w:rPr>
      </w:pPr>
      <w:r>
        <w:rPr>
          <w:rFonts w:hint="eastAsia" w:asciiTheme="majorEastAsia" w:hAnsiTheme="majorEastAsia" w:eastAsiaTheme="majorEastAsia"/>
          <w:b/>
          <w:color w:val="333333"/>
          <w:sz w:val="36"/>
          <w:szCs w:val="36"/>
        </w:rPr>
        <w:t>宁海县教育局2019年政府信息公开工作年度报告</w:t>
      </w:r>
    </w:p>
    <w:p>
      <w:pPr>
        <w:pStyle w:val="15"/>
        <w:widowControl w:val="0"/>
        <w:adjustRightInd w:val="0"/>
        <w:snapToGrid w:val="0"/>
        <w:spacing w:before="0" w:beforeAutospacing="0" w:after="0" w:afterAutospacing="0" w:line="500" w:lineRule="exact"/>
        <w:ind w:firstLine="0"/>
        <w:jc w:val="center"/>
        <w:rPr>
          <w:b/>
          <w:color w:val="333333"/>
          <w:sz w:val="32"/>
          <w:szCs w:val="32"/>
        </w:rPr>
      </w:pPr>
      <w:r>
        <w:rPr>
          <w:rFonts w:hint="eastAsia"/>
          <w:b/>
          <w:color w:val="333333"/>
          <w:sz w:val="32"/>
          <w:szCs w:val="32"/>
        </w:rPr>
        <w:t>宁海县教育局</w:t>
      </w:r>
    </w:p>
    <w:p>
      <w:pPr>
        <w:pStyle w:val="15"/>
        <w:widowControl w:val="0"/>
        <w:adjustRightInd w:val="0"/>
        <w:snapToGrid w:val="0"/>
        <w:spacing w:before="0" w:beforeAutospacing="0" w:after="0" w:afterAutospacing="0" w:line="500" w:lineRule="exact"/>
        <w:ind w:firstLine="0"/>
        <w:jc w:val="center"/>
        <w:rPr>
          <w:b/>
          <w:color w:val="333333"/>
        </w:rPr>
      </w:pPr>
      <w:r>
        <w:rPr>
          <w:rFonts w:hint="eastAsia"/>
          <w:b/>
          <w:color w:val="333333"/>
        </w:rPr>
        <w:t>2020年1月23日</w:t>
      </w:r>
    </w:p>
    <w:p>
      <w:pPr>
        <w:pStyle w:val="15"/>
        <w:spacing w:after="240" w:line="432" w:lineRule="atLeast"/>
        <w:ind w:firstLine="564" w:firstLineChars="235"/>
        <w:rPr>
          <w:color w:val="333333"/>
        </w:rPr>
      </w:pPr>
      <w:r>
        <w:rPr>
          <w:rFonts w:hint="eastAsia"/>
          <w:color w:val="333333"/>
        </w:rPr>
        <w:t>根据《中华人民共和国政府信息公开条例》、《国务院办公厅政府信息与政务公开办公室关于政府信息公开工作年度报告有关事项的通知》（国办公开办函〔2019〕60号）、《2019年宁海县政务公开工作要点》文件精神，宁海县教育局编制了《2019年政府信息公开工作年度报告》。本报告中所列数据的统计期限自2018年1月1日起至2018年12月31日止。</w:t>
      </w:r>
    </w:p>
    <w:p>
      <w:pPr>
        <w:pStyle w:val="15"/>
        <w:spacing w:before="0" w:after="240" w:line="432" w:lineRule="atLeast"/>
        <w:ind w:firstLine="420"/>
        <w:jc w:val="both"/>
        <w:rPr>
          <w:b/>
          <w:color w:val="333333"/>
        </w:rPr>
      </w:pPr>
      <w:r>
        <w:rPr>
          <w:rFonts w:hint="eastAsia"/>
          <w:b/>
          <w:color w:val="333333"/>
        </w:rPr>
        <w:t>一、总体情况</w:t>
      </w:r>
    </w:p>
    <w:p>
      <w:pPr>
        <w:pStyle w:val="15"/>
        <w:spacing w:after="240" w:line="432" w:lineRule="atLeast"/>
        <w:ind w:firstLine="564" w:firstLineChars="235"/>
        <w:rPr>
          <w:rFonts w:hint="eastAsia"/>
          <w:color w:val="333333"/>
        </w:rPr>
      </w:pPr>
      <w:r>
        <w:rPr>
          <w:rFonts w:hint="eastAsia"/>
          <w:color w:val="333333"/>
        </w:rPr>
        <w:t>围绕2019年县政府工作报告和“创新破难奋进年”目标要求，深化教育事业信息公开，重点做好义务教育、学前教育、特殊教育、高中段教育、职业教育、继续教育等方面的信息公开。做好县域义务教育均衡发展等工作进展情况的公开。推动民办学校办学资质审批、义务段学校阳光招生和收费政策、教育救助、教师招聘等信息公开。</w:t>
      </w:r>
    </w:p>
    <w:p>
      <w:pPr>
        <w:pStyle w:val="15"/>
        <w:spacing w:after="240" w:line="432" w:lineRule="atLeast"/>
        <w:ind w:firstLine="564" w:firstLineChars="235"/>
        <w:rPr>
          <w:rFonts w:hint="eastAsia"/>
          <w:color w:val="333333"/>
        </w:rPr>
      </w:pPr>
      <w:r>
        <w:rPr>
          <w:rFonts w:hint="eastAsia"/>
          <w:color w:val="333333"/>
        </w:rPr>
        <w:t>持续深化监督保障机制，建全工作制度。根据《宁海县人民政府办公室关于印发2019年度政务信息等工作目标管理考核办法的通知》（宁政办明电〔2019〕22号），主动公开“日日清”，发布的信息由办公室当日进行审核，确保信息无排版、字体等格式问题；网站更新“季季测”，每季度由县政府按照国务院政府网站与政务新媒体检查指标要求进行检测，并按《宁海县政府政务公开季度监测分报告》进行及时整改。社会公众可通过我局在政府网站上公布的信息公开监督投诉电话、邮箱和通信地址等联系方式对我局相关工作进行监督。</w:t>
      </w:r>
      <w:bookmarkStart w:id="0" w:name="_GoBack"/>
      <w:bookmarkEnd w:id="0"/>
      <w:r>
        <w:rPr>
          <w:rFonts w:hint="eastAsia"/>
          <w:color w:val="333333"/>
        </w:rPr>
        <w:t>面对政务公开工作新形势、新要求，及时建全了政务信息主动公开监督、保密审查、责任追究、信息发布协调、政策解读、回应关切、依申请公开等制度等相关工作制度，并认真抓好落实。规范政府信息公开办理流程，确保政府信息公开的内容充实、及时。严格落实依申请公开规范办理机制，并加强对疑难问题的理论研究和案例分析。在依申请公开答复前，按规定报县政府办公室政务公开科协商及审查。</w:t>
      </w:r>
    </w:p>
    <w:p>
      <w:pPr>
        <w:pStyle w:val="15"/>
        <w:spacing w:before="0" w:after="240" w:line="432" w:lineRule="atLeast"/>
        <w:ind w:firstLine="420"/>
        <w:jc w:val="both"/>
        <w:rPr>
          <w:b/>
          <w:color w:val="333333"/>
        </w:rPr>
      </w:pPr>
      <w:r>
        <w:rPr>
          <w:rFonts w:hint="eastAsia"/>
          <w:b/>
          <w:color w:val="333333"/>
        </w:rPr>
        <w:t>二、主动公开政府信息情况</w:t>
      </w:r>
    </w:p>
    <w:tbl>
      <w:tblPr>
        <w:tblStyle w:val="17"/>
        <w:tblW w:w="6160" w:type="dxa"/>
        <w:jc w:val="center"/>
        <w:tblInd w:w="93" w:type="dxa"/>
        <w:tblLayout w:type="fixed"/>
        <w:tblCellMar>
          <w:top w:w="0" w:type="dxa"/>
          <w:left w:w="108" w:type="dxa"/>
          <w:bottom w:w="0" w:type="dxa"/>
          <w:right w:w="108" w:type="dxa"/>
        </w:tblCellMar>
      </w:tblPr>
      <w:tblGrid>
        <w:gridCol w:w="1612"/>
        <w:gridCol w:w="1592"/>
        <w:gridCol w:w="1478"/>
        <w:gridCol w:w="1478"/>
      </w:tblGrid>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第二十条第（一）项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信息内容</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本年新制作数量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本年新公开数量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对外公开总数量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规章</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规范性文件</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第二十条第（五）项</w:t>
            </w:r>
          </w:p>
        </w:tc>
      </w:tr>
      <w:tr>
        <w:tblPrEx>
          <w:tblLayout w:type="fixed"/>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信息内容</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本年增/减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处理决定数量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行政许可</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22</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15</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349</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其他对外管理服务事项</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16</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第二十条第（六）项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信息内容</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本年增/减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处理决定数量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行政处罚</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行政强制</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第二十条第（八）项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信息内容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本年增/减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行政事业性收费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第二十条第（九）项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信息内容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采购项目数量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采购总金额</w:t>
            </w:r>
          </w:p>
        </w:tc>
      </w:tr>
      <w:tr>
        <w:tblPrEx>
          <w:tblLayout w:type="fixed"/>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政府集中采购</w:t>
            </w:r>
          </w:p>
        </w:tc>
        <w:tc>
          <w:tcPr>
            <w:tcW w:w="3070" w:type="dxa"/>
            <w:gridSpan w:val="2"/>
            <w:tcBorders>
              <w:top w:val="single" w:color="auto" w:sz="4" w:space="0"/>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52</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10369.05（万）</w:t>
            </w:r>
          </w:p>
        </w:tc>
      </w:tr>
    </w:tbl>
    <w:p>
      <w:pPr>
        <w:pStyle w:val="15"/>
        <w:spacing w:before="0" w:after="240" w:line="432" w:lineRule="atLeast"/>
        <w:ind w:firstLine="420"/>
        <w:jc w:val="both"/>
        <w:rPr>
          <w:b/>
          <w:color w:val="333333"/>
        </w:rPr>
      </w:pPr>
      <w:r>
        <w:rPr>
          <w:rFonts w:hint="eastAsia"/>
          <w:b/>
          <w:color w:val="333333"/>
        </w:rPr>
        <w:t>三、收到和处理政府信息公开申请情况</w:t>
      </w:r>
    </w:p>
    <w:tbl>
      <w:tblPr>
        <w:tblStyle w:val="17"/>
        <w:tblW w:w="7820" w:type="dxa"/>
        <w:jc w:val="center"/>
        <w:tblInd w:w="93" w:type="dxa"/>
        <w:tblLayout w:type="fixed"/>
        <w:tblCellMar>
          <w:top w:w="0" w:type="dxa"/>
          <w:left w:w="108" w:type="dxa"/>
          <w:bottom w:w="0" w:type="dxa"/>
          <w:right w:w="108" w:type="dxa"/>
        </w:tblCellMar>
      </w:tblPr>
      <w:tblGrid>
        <w:gridCol w:w="616"/>
        <w:gridCol w:w="816"/>
        <w:gridCol w:w="2507"/>
        <w:gridCol w:w="513"/>
        <w:gridCol w:w="530"/>
        <w:gridCol w:w="548"/>
        <w:gridCol w:w="649"/>
        <w:gridCol w:w="649"/>
        <w:gridCol w:w="496"/>
        <w:gridCol w:w="496"/>
      </w:tblGrid>
      <w:tr>
        <w:tblPrEx>
          <w:tblLayout w:type="fixed"/>
          <w:tblCellMar>
            <w:top w:w="0" w:type="dxa"/>
            <w:left w:w="108" w:type="dxa"/>
            <w:bottom w:w="0" w:type="dxa"/>
            <w:right w:w="108" w:type="dxa"/>
          </w:tblCellMar>
        </w:tblPrEx>
        <w:trPr>
          <w:trHeight w:val="345" w:hRule="atLeast"/>
          <w:jc w:val="center"/>
        </w:trPr>
        <w:tc>
          <w:tcPr>
            <w:tcW w:w="3939" w:type="dxa"/>
            <w:gridSpan w:val="3"/>
            <w:vMerge w:val="restart"/>
            <w:tcBorders>
              <w:top w:val="single" w:color="auto" w:sz="4" w:space="0"/>
              <w:left w:val="single" w:color="auto" w:sz="4" w:space="0"/>
              <w:bottom w:val="single" w:color="000000" w:sz="4" w:space="0"/>
              <w:right w:val="single" w:color="000000"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（本列数据的勾稽关系为：第一项加第二项之和，等于第三项加第四项之和）</w:t>
            </w:r>
          </w:p>
        </w:tc>
        <w:tc>
          <w:tcPr>
            <w:tcW w:w="3881" w:type="dxa"/>
            <w:gridSpan w:val="7"/>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申请人情况</w:t>
            </w:r>
          </w:p>
        </w:tc>
      </w:tr>
      <w:tr>
        <w:tblPrEx>
          <w:tblLayout w:type="fixed"/>
          <w:tblCellMar>
            <w:top w:w="0" w:type="dxa"/>
            <w:left w:w="108" w:type="dxa"/>
            <w:bottom w:w="0" w:type="dxa"/>
            <w:right w:w="108" w:type="dxa"/>
          </w:tblCellMar>
        </w:tblPrEx>
        <w:trPr>
          <w:trHeight w:val="360" w:hRule="atLeast"/>
          <w:jc w:val="center"/>
        </w:trPr>
        <w:tc>
          <w:tcPr>
            <w:tcW w:w="3939" w:type="dxa"/>
            <w:gridSpan w:val="3"/>
            <w:vMerge w:val="continue"/>
            <w:tcBorders>
              <w:top w:val="single" w:color="auto" w:sz="4" w:space="0"/>
              <w:left w:val="single" w:color="auto" w:sz="4" w:space="0"/>
              <w:bottom w:val="single" w:color="000000" w:sz="4" w:space="0"/>
              <w:right w:val="single" w:color="000000" w:sz="4" w:space="0"/>
            </w:tcBorders>
            <w:vAlign w:val="center"/>
          </w:tcPr>
          <w:p>
            <w:pPr>
              <w:ind w:firstLine="0"/>
              <w:rPr>
                <w:rFonts w:ascii="宋体" w:hAnsi="宋体" w:eastAsia="宋体" w:cs="宋体"/>
                <w:color w:val="000000"/>
                <w:sz w:val="20"/>
                <w:szCs w:val="20"/>
              </w:rPr>
            </w:pPr>
          </w:p>
        </w:tc>
        <w:tc>
          <w:tcPr>
            <w:tcW w:w="513" w:type="dxa"/>
            <w:vMerge w:val="restart"/>
            <w:tcBorders>
              <w:top w:val="nil"/>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自然人</w:t>
            </w:r>
          </w:p>
        </w:tc>
        <w:tc>
          <w:tcPr>
            <w:tcW w:w="2872" w:type="dxa"/>
            <w:gridSpan w:val="5"/>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法人或其他组织</w:t>
            </w:r>
          </w:p>
        </w:tc>
        <w:tc>
          <w:tcPr>
            <w:tcW w:w="496" w:type="dxa"/>
            <w:vMerge w:val="restart"/>
            <w:tcBorders>
              <w:top w:val="nil"/>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r>
      <w:tr>
        <w:tblPrEx>
          <w:tblLayout w:type="fixed"/>
          <w:tblCellMar>
            <w:top w:w="0" w:type="dxa"/>
            <w:left w:w="108" w:type="dxa"/>
            <w:bottom w:w="0" w:type="dxa"/>
            <w:right w:w="108" w:type="dxa"/>
          </w:tblCellMar>
        </w:tblPrEx>
        <w:trPr>
          <w:trHeight w:val="615" w:hRule="atLeast"/>
          <w:jc w:val="center"/>
        </w:trPr>
        <w:tc>
          <w:tcPr>
            <w:tcW w:w="3939" w:type="dxa"/>
            <w:gridSpan w:val="3"/>
            <w:vMerge w:val="continue"/>
            <w:tcBorders>
              <w:top w:val="single" w:color="auto" w:sz="4" w:space="0"/>
              <w:left w:val="single" w:color="auto" w:sz="4" w:space="0"/>
              <w:bottom w:val="single" w:color="000000" w:sz="4" w:space="0"/>
              <w:right w:val="single" w:color="000000" w:sz="4" w:space="0"/>
            </w:tcBorders>
            <w:vAlign w:val="center"/>
          </w:tcPr>
          <w:p>
            <w:pPr>
              <w:ind w:firstLine="0"/>
              <w:rPr>
                <w:rFonts w:ascii="宋体" w:hAnsi="宋体" w:eastAsia="宋体" w:cs="宋体"/>
                <w:color w:val="000000"/>
                <w:sz w:val="20"/>
                <w:szCs w:val="20"/>
              </w:rPr>
            </w:pPr>
          </w:p>
        </w:tc>
        <w:tc>
          <w:tcPr>
            <w:tcW w:w="513"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530"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商业企业</w:t>
            </w:r>
          </w:p>
        </w:tc>
        <w:tc>
          <w:tcPr>
            <w:tcW w:w="548"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科研机构</w:t>
            </w:r>
          </w:p>
        </w:tc>
        <w:tc>
          <w:tcPr>
            <w:tcW w:w="649"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社会公益组织</w:t>
            </w:r>
          </w:p>
        </w:tc>
        <w:tc>
          <w:tcPr>
            <w:tcW w:w="649"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法律服务机构</w:t>
            </w:r>
          </w:p>
        </w:tc>
        <w:tc>
          <w:tcPr>
            <w:tcW w:w="496"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w:t>
            </w:r>
          </w:p>
        </w:tc>
        <w:tc>
          <w:tcPr>
            <w:tcW w:w="49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ascii="宋体" w:hAnsi="宋体" w:eastAsia="宋体" w:cs="宋体"/>
                <w:color w:val="000000"/>
                <w:sz w:val="20"/>
                <w:szCs w:val="20"/>
              </w:rPr>
            </w:pPr>
            <w:r>
              <w:rPr>
                <w:rFonts w:hint="eastAsia" w:ascii="宋体" w:hAnsi="宋体" w:eastAsia="宋体" w:cs="宋体"/>
                <w:color w:val="000000"/>
                <w:sz w:val="20"/>
                <w:szCs w:val="20"/>
              </w:rPr>
              <w:t>一、本年新收政府信息公开申请数量</w:t>
            </w:r>
          </w:p>
        </w:tc>
        <w:tc>
          <w:tcPr>
            <w:tcW w:w="513"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2</w:t>
            </w:r>
          </w:p>
        </w:tc>
        <w:tc>
          <w:tcPr>
            <w:tcW w:w="530"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2</w:t>
            </w: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ascii="宋体" w:hAnsi="宋体" w:eastAsia="宋体" w:cs="宋体"/>
                <w:color w:val="000000"/>
                <w:sz w:val="20"/>
                <w:szCs w:val="20"/>
              </w:rPr>
            </w:pPr>
            <w:r>
              <w:rPr>
                <w:rFonts w:hint="eastAsia" w:ascii="宋体" w:hAnsi="宋体" w:eastAsia="宋体" w:cs="宋体"/>
                <w:color w:val="000000"/>
                <w:sz w:val="20"/>
                <w:szCs w:val="20"/>
              </w:rPr>
              <w:t>二、上年结转政府信息公开申请数量</w:t>
            </w:r>
          </w:p>
        </w:tc>
        <w:tc>
          <w:tcPr>
            <w:tcW w:w="513"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PrEx>
        <w:trPr>
          <w:trHeight w:val="402"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三、本年度办理结果</w:t>
            </w:r>
          </w:p>
        </w:tc>
        <w:tc>
          <w:tcPr>
            <w:tcW w:w="3323" w:type="dxa"/>
            <w:gridSpan w:val="2"/>
            <w:tcBorders>
              <w:top w:val="single" w:color="auto" w:sz="4" w:space="0"/>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（一）予以公开</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1</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1</w:t>
            </w:r>
          </w:p>
        </w:tc>
      </w:tr>
      <w:tr>
        <w:tblPrEx>
          <w:tblLayout w:type="fixed"/>
          <w:tblCellMar>
            <w:top w:w="0" w:type="dxa"/>
            <w:left w:w="108" w:type="dxa"/>
            <w:bottom w:w="0" w:type="dxa"/>
            <w:right w:w="108" w:type="dxa"/>
          </w:tblCellMar>
        </w:tblPrEx>
        <w:trPr>
          <w:trHeight w:val="61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（二）部分公开（区分处理的，只计这一情形，不计其他情形）</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（三）不予公开</w:t>
            </w: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1.属于国家秘密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2.其他法律行政法规禁止公开</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3.危及“三安全一稳定”</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4.保护第三方合法权益</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5.属于三类内部事务信息</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6.属于四类过程性信息</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7.属于行政执法案卷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8.属于行政查询事项</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（四）无法提供</w:t>
            </w: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1.本机关不掌握相关政府信息</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1</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1</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2.没有现成信息需要另行制作</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3.补正后申请内容仍不明确</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（五）不予处理</w:t>
            </w: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1.信访举报投诉类申请</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2.重复申请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3.要求提供公开出版物</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4.无正当理由大量反复申请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5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5.要求行政机关确认或重新出具已获取信息</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（六）其他处理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（七）总计</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2</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2</w:t>
            </w: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000000" w:fill="AFCDEF"/>
            <w:vAlign w:val="center"/>
          </w:tcPr>
          <w:p>
            <w:pPr>
              <w:spacing w:line="240" w:lineRule="atLeast"/>
              <w:ind w:firstLine="0"/>
              <w:rPr>
                <w:rFonts w:ascii="宋体" w:hAnsi="宋体" w:eastAsia="宋体" w:cs="宋体"/>
                <w:color w:val="000000"/>
                <w:sz w:val="20"/>
                <w:szCs w:val="20"/>
              </w:rPr>
            </w:pPr>
            <w:r>
              <w:rPr>
                <w:rFonts w:hint="eastAsia" w:ascii="宋体" w:hAnsi="宋体" w:eastAsia="宋体" w:cs="宋体"/>
                <w:color w:val="000000"/>
                <w:sz w:val="20"/>
                <w:szCs w:val="20"/>
              </w:rPr>
              <w:t>四、结转下年度继续办理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bl>
    <w:p>
      <w:pPr>
        <w:pStyle w:val="15"/>
        <w:spacing w:before="0" w:after="0" w:line="432" w:lineRule="atLeast"/>
        <w:ind w:firstLine="420"/>
        <w:jc w:val="both"/>
      </w:pPr>
    </w:p>
    <w:p>
      <w:pPr>
        <w:pStyle w:val="15"/>
        <w:spacing w:before="0" w:after="0" w:line="432" w:lineRule="atLeast"/>
        <w:ind w:firstLine="420"/>
        <w:jc w:val="both"/>
        <w:rPr>
          <w:b/>
          <w:color w:val="333333"/>
        </w:rPr>
      </w:pPr>
      <w:r>
        <w:rPr>
          <w:rFonts w:hint="eastAsia"/>
          <w:b/>
          <w:color w:val="333333"/>
        </w:rPr>
        <w:t>四、政府信息公开行政复议、行政诉讼情况</w:t>
      </w:r>
    </w:p>
    <w:tbl>
      <w:tblPr>
        <w:tblStyle w:val="17"/>
        <w:tblW w:w="6240" w:type="dxa"/>
        <w:jc w:val="center"/>
        <w:tblInd w:w="93" w:type="dxa"/>
        <w:tblLayout w:type="fixed"/>
        <w:tblCellMar>
          <w:top w:w="0" w:type="dxa"/>
          <w:left w:w="108" w:type="dxa"/>
          <w:bottom w:w="0" w:type="dxa"/>
          <w:right w:w="108" w:type="dxa"/>
        </w:tblCellMar>
      </w:tblPr>
      <w:tblGrid>
        <w:gridCol w:w="416"/>
        <w:gridCol w:w="416"/>
        <w:gridCol w:w="416"/>
        <w:gridCol w:w="416"/>
        <w:gridCol w:w="416"/>
        <w:gridCol w:w="416"/>
        <w:gridCol w:w="416"/>
        <w:gridCol w:w="416"/>
        <w:gridCol w:w="416"/>
        <w:gridCol w:w="416"/>
        <w:gridCol w:w="416"/>
        <w:gridCol w:w="416"/>
        <w:gridCol w:w="416"/>
        <w:gridCol w:w="416"/>
        <w:gridCol w:w="416"/>
      </w:tblGrid>
      <w:tr>
        <w:tblPrEx>
          <w:tblLayout w:type="fixed"/>
          <w:tblCellMar>
            <w:top w:w="0" w:type="dxa"/>
            <w:left w:w="108" w:type="dxa"/>
            <w:bottom w:w="0" w:type="dxa"/>
            <w:right w:w="108" w:type="dxa"/>
          </w:tblCellMar>
        </w:tblPrEx>
        <w:trPr>
          <w:trHeight w:val="402" w:hRule="atLeast"/>
          <w:jc w:val="center"/>
        </w:trPr>
        <w:tc>
          <w:tcPr>
            <w:tcW w:w="2080" w:type="dxa"/>
            <w:gridSpan w:val="5"/>
            <w:tcBorders>
              <w:top w:val="single" w:color="auto" w:sz="4" w:space="0"/>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行政复议</w:t>
            </w:r>
          </w:p>
        </w:tc>
        <w:tc>
          <w:tcPr>
            <w:tcW w:w="4160" w:type="dxa"/>
            <w:gridSpan w:val="10"/>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行政诉讼</w:t>
            </w:r>
          </w:p>
        </w:tc>
      </w:tr>
      <w:tr>
        <w:tblPrEx>
          <w:tblLayout w:type="fixed"/>
          <w:tblCellMar>
            <w:top w:w="0" w:type="dxa"/>
            <w:left w:w="108" w:type="dxa"/>
            <w:bottom w:w="0" w:type="dxa"/>
            <w:right w:w="108" w:type="dxa"/>
          </w:tblCellMar>
        </w:tblPrEx>
        <w:trPr>
          <w:trHeight w:val="402" w:hRule="atLeast"/>
          <w:jc w:val="center"/>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c>
          <w:tcPr>
            <w:tcW w:w="2080" w:type="dxa"/>
            <w:gridSpan w:val="5"/>
            <w:tcBorders>
              <w:top w:val="single" w:color="auto" w:sz="4" w:space="0"/>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未经复议直接起诉</w:t>
            </w:r>
          </w:p>
        </w:tc>
        <w:tc>
          <w:tcPr>
            <w:tcW w:w="2080" w:type="dxa"/>
            <w:gridSpan w:val="5"/>
            <w:tcBorders>
              <w:top w:val="single" w:color="auto" w:sz="4" w:space="0"/>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复议后起诉</w:t>
            </w:r>
          </w:p>
        </w:tc>
      </w:tr>
      <w:tr>
        <w:tblPrEx>
          <w:tblLayout w:type="fixed"/>
          <w:tblCellMar>
            <w:top w:w="0" w:type="dxa"/>
            <w:left w:w="108" w:type="dxa"/>
            <w:bottom w:w="0" w:type="dxa"/>
            <w:right w:w="108" w:type="dxa"/>
          </w:tblCellMar>
        </w:tblPrEx>
        <w:trPr>
          <w:trHeight w:val="1140" w:hRule="atLeast"/>
          <w:jc w:val="center"/>
        </w:trPr>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r>
      <w:tr>
        <w:tblPrEx>
          <w:tblLayout w:type="fixed"/>
          <w:tblCellMar>
            <w:top w:w="0" w:type="dxa"/>
            <w:left w:w="108" w:type="dxa"/>
            <w:bottom w:w="0" w:type="dxa"/>
            <w:right w:w="108" w:type="dxa"/>
          </w:tblCellMar>
        </w:tblPrEx>
        <w:trPr>
          <w:trHeight w:val="40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bl>
    <w:p>
      <w:pPr>
        <w:pStyle w:val="15"/>
        <w:spacing w:before="0" w:after="0" w:line="432" w:lineRule="atLeast"/>
        <w:ind w:firstLine="420"/>
        <w:jc w:val="both"/>
        <w:rPr>
          <w:b/>
          <w:color w:val="333333"/>
        </w:rPr>
      </w:pPr>
    </w:p>
    <w:p>
      <w:pPr>
        <w:pStyle w:val="15"/>
        <w:spacing w:before="0" w:after="0" w:line="432" w:lineRule="atLeast"/>
        <w:ind w:firstLine="420"/>
        <w:jc w:val="both"/>
        <w:rPr>
          <w:b/>
          <w:color w:val="333333"/>
        </w:rPr>
      </w:pPr>
      <w:r>
        <w:rPr>
          <w:rFonts w:hint="eastAsia"/>
          <w:b/>
          <w:color w:val="333333"/>
        </w:rPr>
        <w:t>五、存在的主要问题及改进情况</w:t>
      </w:r>
    </w:p>
    <w:p>
      <w:pPr>
        <w:spacing w:line="520" w:lineRule="exact"/>
        <w:ind w:firstLine="480" w:firstLineChars="200"/>
        <w:rPr>
          <w:rFonts w:ascii="Calibri" w:hAnsi="Calibri"/>
          <w:color w:val="333333"/>
          <w:sz w:val="24"/>
        </w:rPr>
      </w:pPr>
      <w:r>
        <w:rPr>
          <w:rFonts w:hint="eastAsia" w:ascii="Calibri" w:hAnsi="Calibri"/>
          <w:color w:val="333333"/>
          <w:sz w:val="24"/>
        </w:rPr>
        <w:t>1、信息公开质量有待进一步提升，有些类别信息发布要素还不够齐全，有待完善等。</w:t>
      </w:r>
    </w:p>
    <w:p>
      <w:pPr>
        <w:spacing w:line="520" w:lineRule="exact"/>
        <w:ind w:firstLine="480" w:firstLineChars="200"/>
        <w:rPr>
          <w:rFonts w:ascii="Calibri" w:hAnsi="Calibri"/>
          <w:color w:val="333333"/>
          <w:sz w:val="24"/>
        </w:rPr>
      </w:pPr>
      <w:r>
        <w:rPr>
          <w:rFonts w:hint="eastAsia" w:ascii="Calibri" w:hAnsi="Calibri"/>
          <w:color w:val="333333"/>
          <w:sz w:val="24"/>
        </w:rPr>
        <w:t>2、在健全解读回应机制，创新解读方式方法上有所不足。</w:t>
      </w:r>
    </w:p>
    <w:p>
      <w:pPr>
        <w:spacing w:line="520" w:lineRule="exact"/>
        <w:ind w:firstLine="480" w:firstLineChars="200"/>
        <w:rPr>
          <w:rFonts w:ascii="Calibri" w:hAnsi="Calibri"/>
          <w:color w:val="333333"/>
          <w:sz w:val="24"/>
        </w:rPr>
      </w:pPr>
      <w:r>
        <w:rPr>
          <w:rFonts w:hint="eastAsia" w:ascii="Calibri" w:hAnsi="Calibri"/>
          <w:color w:val="333333"/>
          <w:sz w:val="24"/>
        </w:rPr>
        <w:t>针对上述问题，我局将进一步加强学习研究，完善制度措施，抓好整改落实，推进本局政务公开工作再上新台阶。</w:t>
      </w:r>
    </w:p>
    <w:p>
      <w:pPr>
        <w:spacing w:line="560" w:lineRule="exact"/>
        <w:ind w:firstLine="480" w:firstLineChars="200"/>
        <w:rPr>
          <w:rFonts w:ascii="Calibri" w:hAnsi="Calibri"/>
          <w:color w:val="333333"/>
          <w:sz w:val="24"/>
        </w:rPr>
      </w:pPr>
      <w:r>
        <w:rPr>
          <w:rFonts w:hint="eastAsia" w:ascii="Calibri" w:hAnsi="Calibri"/>
          <w:color w:val="333333"/>
          <w:sz w:val="24"/>
        </w:rPr>
        <w:t>如对本报告有疑问，请与县教育局政府信息公开工作办公室联系（地址：宁海县跃龙街道人民路290号2楼204室；邮编：315056；电话：65259637）。</w:t>
      </w:r>
    </w:p>
    <w:p>
      <w:pPr>
        <w:rPr>
          <w:rFonts w:ascii="Calibri" w:hAnsi="Calibri"/>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altName w:val="Arial Unicode MS"/>
    <w:panose1 w:val="00000000000000000000"/>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CC"/>
    <w:rsid w:val="00017BB2"/>
    <w:rsid w:val="00023CD3"/>
    <w:rsid w:val="00067BD1"/>
    <w:rsid w:val="00121DCC"/>
    <w:rsid w:val="00270AE2"/>
    <w:rsid w:val="002C73AA"/>
    <w:rsid w:val="003901F3"/>
    <w:rsid w:val="0047662F"/>
    <w:rsid w:val="005055FD"/>
    <w:rsid w:val="0054562F"/>
    <w:rsid w:val="005C3EDE"/>
    <w:rsid w:val="006333C3"/>
    <w:rsid w:val="0065559C"/>
    <w:rsid w:val="006B2E8D"/>
    <w:rsid w:val="009F6E1B"/>
    <w:rsid w:val="00A74D2F"/>
    <w:rsid w:val="00E43A5A"/>
    <w:rsid w:val="00E537D2"/>
    <w:rsid w:val="00E66B08"/>
    <w:rsid w:val="00E958B5"/>
    <w:rsid w:val="00EF3870"/>
    <w:rsid w:val="00F43CD5"/>
    <w:rsid w:val="0261763B"/>
    <w:rsid w:val="1F664C5A"/>
    <w:rsid w:val="4FB541A4"/>
    <w:rsid w:val="67B864C6"/>
    <w:rsid w:val="7025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zh-CN" w:bidi="ar-SA"/>
    </w:rPr>
  </w:style>
  <w:style w:type="paragraph" w:styleId="2">
    <w:name w:val="heading 1"/>
    <w:basedOn w:val="1"/>
    <w:next w:val="1"/>
    <w:link w:val="25"/>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76092" w:themeColor="accent1" w:themeShade="BF"/>
      <w:sz w:val="24"/>
      <w:szCs w:val="24"/>
    </w:rPr>
  </w:style>
  <w:style w:type="paragraph" w:styleId="3">
    <w:name w:val="heading 2"/>
    <w:basedOn w:val="1"/>
    <w:next w:val="1"/>
    <w:link w:val="26"/>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76092" w:themeColor="accent1" w:themeShade="BF"/>
      <w:sz w:val="24"/>
      <w:szCs w:val="24"/>
    </w:rPr>
  </w:style>
  <w:style w:type="paragraph" w:styleId="4">
    <w:name w:val="heading 3"/>
    <w:basedOn w:val="1"/>
    <w:next w:val="1"/>
    <w:link w:val="27"/>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5">
    <w:name w:val="heading 4"/>
    <w:basedOn w:val="1"/>
    <w:next w:val="1"/>
    <w:link w:val="28"/>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6">
    <w:name w:val="heading 5"/>
    <w:basedOn w:val="1"/>
    <w:next w:val="1"/>
    <w:link w:val="29"/>
    <w:semiHidden/>
    <w:unhideWhenUsed/>
    <w:qFormat/>
    <w:uiPriority w:val="9"/>
    <w:pPr>
      <w:spacing w:before="200" w:after="80"/>
      <w:ind w:firstLine="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7">
    <w:name w:val="heading 6"/>
    <w:basedOn w:val="1"/>
    <w:next w:val="1"/>
    <w:link w:val="30"/>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8">
    <w:name w:val="heading 7"/>
    <w:basedOn w:val="1"/>
    <w:next w:val="1"/>
    <w:link w:val="31"/>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9">
    <w:name w:val="heading 8"/>
    <w:basedOn w:val="1"/>
    <w:next w:val="1"/>
    <w:link w:val="32"/>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0">
    <w:name w:val="heading 9"/>
    <w:basedOn w:val="1"/>
    <w:next w:val="1"/>
    <w:link w:val="33"/>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18">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4"/>
    <w:unhideWhenUsed/>
    <w:qFormat/>
    <w:uiPriority w:val="99"/>
    <w:pPr>
      <w:tabs>
        <w:tab w:val="center" w:pos="4153"/>
        <w:tab w:val="right" w:pos="8306"/>
      </w:tabs>
      <w:snapToGrid w:val="0"/>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5"/>
    <w:qFormat/>
    <w:uiPriority w:val="11"/>
    <w:pPr>
      <w:spacing w:before="200" w:after="900"/>
      <w:ind w:firstLine="0"/>
      <w:jc w:val="right"/>
    </w:pPr>
    <w:rPr>
      <w:i/>
      <w:iCs/>
      <w:sz w:val="24"/>
      <w:szCs w:val="24"/>
    </w:rPr>
  </w:style>
  <w:style w:type="paragraph" w:styleId="15">
    <w:name w:val="Normal (Web)"/>
    <w:basedOn w:val="1"/>
    <w:qFormat/>
    <w:uiPriority w:val="99"/>
    <w:pPr>
      <w:spacing w:before="100" w:beforeAutospacing="1" w:after="100" w:afterAutospacing="1"/>
    </w:pPr>
    <w:rPr>
      <w:rFonts w:ascii="Calibri" w:hAnsi="Calibri"/>
      <w:sz w:val="24"/>
    </w:rPr>
  </w:style>
  <w:style w:type="paragraph" w:styleId="16">
    <w:name w:val="Title"/>
    <w:basedOn w:val="1"/>
    <w:next w:val="1"/>
    <w:link w:val="34"/>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54061" w:themeColor="accent1" w:themeShade="80"/>
      <w:sz w:val="60"/>
      <w:szCs w:val="60"/>
    </w:rPr>
  </w:style>
  <w:style w:type="character" w:styleId="19">
    <w:name w:val="Strong"/>
    <w:basedOn w:val="18"/>
    <w:qFormat/>
    <w:uiPriority w:val="22"/>
    <w:rPr>
      <w:b/>
      <w:bCs/>
      <w:spacing w:val="0"/>
    </w:rPr>
  </w:style>
  <w:style w:type="character" w:styleId="20">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customStyle="1" w:styleId="21">
    <w:name w:val="正文 + 四号 Char"/>
    <w:basedOn w:val="18"/>
    <w:link w:val="22"/>
    <w:uiPriority w:val="0"/>
    <w:rPr>
      <w:rFonts w:ascii="仿宋_GB2312" w:hAnsi="宋体" w:eastAsia="仿宋_GB2312" w:cs="宋体"/>
      <w:szCs w:val="21"/>
    </w:rPr>
  </w:style>
  <w:style w:type="paragraph" w:customStyle="1" w:styleId="22">
    <w:name w:val="正文 + 仿宋_GB2312"/>
    <w:basedOn w:val="1"/>
    <w:link w:val="21"/>
    <w:uiPriority w:val="0"/>
    <w:pPr>
      <w:ind w:firstLine="420" w:firstLineChars="200"/>
    </w:pPr>
    <w:rPr>
      <w:rFonts w:ascii="仿宋_GB2312" w:hAnsi="宋体" w:eastAsia="仿宋_GB2312" w:cs="宋体"/>
      <w:szCs w:val="21"/>
    </w:rPr>
  </w:style>
  <w:style w:type="character" w:customStyle="1" w:styleId="23">
    <w:name w:val="页眉 Char"/>
    <w:basedOn w:val="18"/>
    <w:link w:val="13"/>
    <w:qFormat/>
    <w:uiPriority w:val="99"/>
    <w:rPr>
      <w:sz w:val="18"/>
      <w:szCs w:val="18"/>
    </w:rPr>
  </w:style>
  <w:style w:type="character" w:customStyle="1" w:styleId="24">
    <w:name w:val="页脚 Char"/>
    <w:basedOn w:val="18"/>
    <w:link w:val="12"/>
    <w:qFormat/>
    <w:uiPriority w:val="99"/>
    <w:rPr>
      <w:rFonts w:ascii="Times New Roman" w:hAnsi="Times New Roman" w:eastAsia="宋体" w:cs="Times New Roman"/>
      <w:sz w:val="18"/>
      <w:szCs w:val="18"/>
    </w:rPr>
  </w:style>
  <w:style w:type="character" w:customStyle="1" w:styleId="25">
    <w:name w:val="标题 1 Char"/>
    <w:basedOn w:val="18"/>
    <w:link w:val="2"/>
    <w:qFormat/>
    <w:uiPriority w:val="9"/>
    <w:rPr>
      <w:rFonts w:asciiTheme="majorHAnsi" w:hAnsiTheme="majorHAnsi" w:eastAsiaTheme="majorEastAsia" w:cstheme="majorBidi"/>
      <w:b/>
      <w:bCs/>
      <w:color w:val="376092" w:themeColor="accent1" w:themeShade="BF"/>
      <w:sz w:val="24"/>
      <w:szCs w:val="24"/>
    </w:rPr>
  </w:style>
  <w:style w:type="character" w:customStyle="1" w:styleId="26">
    <w:name w:val="标题 2 Char"/>
    <w:basedOn w:val="18"/>
    <w:link w:val="3"/>
    <w:semiHidden/>
    <w:uiPriority w:val="9"/>
    <w:rPr>
      <w:rFonts w:asciiTheme="majorHAnsi" w:hAnsiTheme="majorHAnsi" w:eastAsiaTheme="majorEastAsia" w:cstheme="majorBidi"/>
      <w:color w:val="376092" w:themeColor="accent1" w:themeShade="BF"/>
      <w:sz w:val="24"/>
      <w:szCs w:val="24"/>
    </w:rPr>
  </w:style>
  <w:style w:type="character" w:customStyle="1" w:styleId="27">
    <w:name w:val="标题 3 Char"/>
    <w:basedOn w:val="18"/>
    <w:link w:val="4"/>
    <w:semiHidden/>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28">
    <w:name w:val="标题 4 Char"/>
    <w:basedOn w:val="18"/>
    <w:link w:val="5"/>
    <w:semiHidden/>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29">
    <w:name w:val="标题 5 Char"/>
    <w:basedOn w:val="18"/>
    <w:link w:val="6"/>
    <w:semiHidden/>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30">
    <w:name w:val="标题 6 Char"/>
    <w:basedOn w:val="18"/>
    <w:link w:val="7"/>
    <w:semiHidden/>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31">
    <w:name w:val="标题 7 Char"/>
    <w:basedOn w:val="18"/>
    <w:link w:val="8"/>
    <w:semiHidden/>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32">
    <w:name w:val="标题 8 Char"/>
    <w:basedOn w:val="18"/>
    <w:link w:val="9"/>
    <w:semiHidden/>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33">
    <w:name w:val="标题 9 Char"/>
    <w:basedOn w:val="18"/>
    <w:link w:val="10"/>
    <w:semiHidden/>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34">
    <w:name w:val="标题 Char"/>
    <w:basedOn w:val="18"/>
    <w:link w:val="16"/>
    <w:uiPriority w:val="10"/>
    <w:rPr>
      <w:rFonts w:asciiTheme="majorHAnsi" w:hAnsiTheme="majorHAnsi" w:eastAsiaTheme="majorEastAsia" w:cstheme="majorBidi"/>
      <w:i/>
      <w:iCs/>
      <w:color w:val="254061" w:themeColor="accent1" w:themeShade="80"/>
      <w:sz w:val="60"/>
      <w:szCs w:val="60"/>
    </w:rPr>
  </w:style>
  <w:style w:type="character" w:customStyle="1" w:styleId="35">
    <w:name w:val="副标题 Char"/>
    <w:basedOn w:val="18"/>
    <w:link w:val="14"/>
    <w:uiPriority w:val="11"/>
    <w:rPr>
      <w:i/>
      <w:iCs/>
      <w:sz w:val="24"/>
      <w:szCs w:val="24"/>
    </w:rPr>
  </w:style>
  <w:style w:type="paragraph" w:styleId="36">
    <w:name w:val="No Spacing"/>
    <w:basedOn w:val="1"/>
    <w:link w:val="37"/>
    <w:qFormat/>
    <w:uiPriority w:val="1"/>
    <w:pPr>
      <w:ind w:firstLine="0"/>
    </w:pPr>
  </w:style>
  <w:style w:type="character" w:customStyle="1" w:styleId="37">
    <w:name w:val="无间隔 Char"/>
    <w:basedOn w:val="18"/>
    <w:link w:val="36"/>
    <w:uiPriority w:val="1"/>
  </w:style>
  <w:style w:type="paragraph" w:styleId="38">
    <w:name w:val="List Paragraph"/>
    <w:basedOn w:val="1"/>
    <w:qFormat/>
    <w:uiPriority w:val="34"/>
    <w:pPr>
      <w:ind w:left="720"/>
      <w:contextualSpacing/>
    </w:pPr>
  </w:style>
  <w:style w:type="paragraph" w:styleId="39">
    <w:name w:val="Quote"/>
    <w:basedOn w:val="1"/>
    <w:next w:val="1"/>
    <w:link w:val="40"/>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40">
    <w:name w:val="引用 Char"/>
    <w:basedOn w:val="18"/>
    <w:link w:val="39"/>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41">
    <w:name w:val="Intense Quote"/>
    <w:basedOn w:val="1"/>
    <w:next w:val="1"/>
    <w:link w:val="4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42">
    <w:name w:val="明显引用 Char"/>
    <w:basedOn w:val="18"/>
    <w:link w:val="41"/>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43">
    <w:name w:val="Subtle Emphasis"/>
    <w:qFormat/>
    <w:uiPriority w:val="19"/>
    <w:rPr>
      <w:i/>
      <w:iCs/>
      <w:color w:val="595959" w:themeColor="text1" w:themeTint="A6"/>
      <w14:textFill>
        <w14:solidFill>
          <w14:schemeClr w14:val="tx1">
            <w14:lumMod w14:val="65000"/>
            <w14:lumOff w14:val="35000"/>
          </w14:schemeClr>
        </w14:solidFill>
      </w14:textFill>
    </w:rPr>
  </w:style>
  <w:style w:type="character" w:customStyle="1" w:styleId="44">
    <w:name w:val="Intense Emphasis"/>
    <w:qFormat/>
    <w:uiPriority w:val="21"/>
    <w:rPr>
      <w:b/>
      <w:bCs/>
      <w:i/>
      <w:iCs/>
      <w:color w:val="4F81BD" w:themeColor="accent1"/>
      <w:sz w:val="22"/>
      <w:szCs w:val="22"/>
      <w14:textFill>
        <w14:solidFill>
          <w14:schemeClr w14:val="accent1"/>
        </w14:solidFill>
      </w14:textFill>
    </w:rPr>
  </w:style>
  <w:style w:type="character" w:customStyle="1" w:styleId="45">
    <w:name w:val="Subtle Reference"/>
    <w:qFormat/>
    <w:uiPriority w:val="31"/>
    <w:rPr>
      <w:color w:val="auto"/>
      <w:u w:val="single" w:color="9BBB59" w:themeColor="accent3"/>
    </w:rPr>
  </w:style>
  <w:style w:type="character" w:customStyle="1" w:styleId="46">
    <w:name w:val="Intense Reference"/>
    <w:basedOn w:val="18"/>
    <w:qFormat/>
    <w:uiPriority w:val="32"/>
    <w:rPr>
      <w:b/>
      <w:bCs/>
      <w:color w:val="77933C" w:themeColor="accent3" w:themeShade="BF"/>
      <w:u w:val="single" w:color="9BBB59" w:themeColor="accent3"/>
    </w:rPr>
  </w:style>
  <w:style w:type="character" w:customStyle="1" w:styleId="47">
    <w:name w:val="Book Title"/>
    <w:basedOn w:val="18"/>
    <w:qFormat/>
    <w:uiPriority w:val="33"/>
    <w:rPr>
      <w:rFonts w:asciiTheme="majorHAnsi" w:hAnsiTheme="majorHAnsi" w:eastAsiaTheme="majorEastAsia" w:cstheme="majorBidi"/>
      <w:b/>
      <w:bCs/>
      <w:i/>
      <w:iCs/>
      <w:color w:val="auto"/>
    </w:rPr>
  </w:style>
  <w:style w:type="paragraph" w:customStyle="1" w:styleId="48">
    <w:name w:val="TOC Heading"/>
    <w:basedOn w:val="2"/>
    <w:next w:val="1"/>
    <w:semiHidden/>
    <w:unhideWhenUsed/>
    <w:qFormat/>
    <w:uiPriority w:val="39"/>
    <w:pPr>
      <w:outlineLvl w:val="9"/>
    </w:pPr>
    <w:rPr>
      <w:lang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310</Words>
  <Characters>1770</Characters>
  <Lines>14</Lines>
  <Paragraphs>4</Paragraphs>
  <TotalTime>0</TotalTime>
  <ScaleCrop>false</ScaleCrop>
  <LinksUpToDate>false</LinksUpToDate>
  <CharactersWithSpaces>2076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2020-01-14T06:32:00Z</dcterms:created>
  <dc:creator>微软用户</dc:creator>
  <cp:lastModifiedBy>Administrator</cp:lastModifiedBy>
  <dcterms:modified xsi:type="dcterms:W3CDTF">2020-05-20T01:30:09Z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