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华文中宋" w:hAnsi="华文中宋" w:eastAsia="华文中宋" w:cs="华文中宋"/>
          <w:b/>
          <w:color w:val="333333"/>
          <w:sz w:val="44"/>
          <w:szCs w:val="44"/>
        </w:rPr>
      </w:pPr>
      <w:r>
        <w:rPr>
          <w:rFonts w:hint="eastAsia" w:ascii="华文中宋" w:hAnsi="华文中宋" w:eastAsia="华文中宋" w:cs="华文中宋"/>
          <w:b/>
          <w:color w:val="333333"/>
          <w:sz w:val="44"/>
          <w:szCs w:val="44"/>
          <w:lang w:eastAsia="zh-CN"/>
        </w:rPr>
        <w:t>宁海县财政局</w:t>
      </w:r>
      <w:r>
        <w:rPr>
          <w:rFonts w:hint="eastAsia" w:ascii="华文中宋" w:hAnsi="华文中宋" w:eastAsia="华文中宋" w:cs="华文中宋"/>
          <w:b/>
          <w:color w:val="333333"/>
          <w:sz w:val="44"/>
          <w:szCs w:val="44"/>
          <w:lang w:val="en-US" w:eastAsia="zh-CN"/>
        </w:rPr>
        <w:t>2021年</w:t>
      </w:r>
      <w:r>
        <w:rPr>
          <w:rFonts w:hint="eastAsia" w:ascii="华文中宋" w:hAnsi="华文中宋" w:eastAsia="华文中宋" w:cs="华文中宋"/>
          <w:b/>
          <w:color w:val="333333"/>
          <w:sz w:val="44"/>
          <w:szCs w:val="44"/>
        </w:rPr>
        <w:t>政府信息公开工作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华文中宋" w:hAnsi="华文中宋" w:eastAsia="华文中宋" w:cs="华文中宋"/>
          <w:b/>
          <w:color w:val="333333"/>
          <w:sz w:val="44"/>
          <w:szCs w:val="44"/>
        </w:rPr>
      </w:pPr>
      <w:r>
        <w:rPr>
          <w:rFonts w:hint="eastAsia" w:ascii="华文中宋" w:hAnsi="华文中宋" w:eastAsia="华文中宋" w:cs="华文中宋"/>
          <w:b/>
          <w:color w:val="333333"/>
          <w:sz w:val="44"/>
          <w:szCs w:val="44"/>
        </w:rPr>
        <w:t>年度报告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宋体" w:hAnsi="宋体" w:cs="宋体"/>
          <w:b/>
          <w:color w:val="333333"/>
          <w:sz w:val="36"/>
          <w:szCs w:val="36"/>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rPr>
        <w:t>根据《中华人民共和国政府信息公开条例》要求，</w:t>
      </w:r>
      <w:r>
        <w:rPr>
          <w:rFonts w:hint="eastAsia" w:ascii="仿宋_GB2312" w:hAnsi="仿宋_GB2312" w:eastAsia="仿宋_GB2312" w:cs="仿宋_GB2312"/>
          <w:color w:val="3D3D3D"/>
          <w:sz w:val="32"/>
          <w:szCs w:val="32"/>
          <w:u w:val="none"/>
          <w:lang w:eastAsia="zh-CN"/>
        </w:rPr>
        <w:t>本单位</w:t>
      </w:r>
      <w:r>
        <w:rPr>
          <w:rFonts w:hint="eastAsia" w:ascii="仿宋_GB2312" w:hAnsi="仿宋_GB2312" w:eastAsia="仿宋_GB2312" w:cs="仿宋_GB2312"/>
          <w:color w:val="3D3D3D"/>
          <w:sz w:val="32"/>
          <w:szCs w:val="32"/>
          <w:u w:val="none"/>
        </w:rPr>
        <w:t>编制了20</w:t>
      </w:r>
      <w:r>
        <w:rPr>
          <w:rFonts w:hint="eastAsia" w:ascii="仿宋_GB2312" w:hAnsi="仿宋_GB2312" w:eastAsia="仿宋_GB2312" w:cs="仿宋_GB2312"/>
          <w:color w:val="3D3D3D"/>
          <w:sz w:val="32"/>
          <w:szCs w:val="32"/>
          <w:u w:val="none"/>
          <w:lang w:val="en-US" w:eastAsia="zh-CN"/>
        </w:rPr>
        <w:t>21</w:t>
      </w:r>
      <w:r>
        <w:rPr>
          <w:rFonts w:hint="eastAsia" w:ascii="仿宋_GB2312" w:hAnsi="仿宋_GB2312" w:eastAsia="仿宋_GB2312" w:cs="仿宋_GB2312"/>
          <w:color w:val="3D3D3D"/>
          <w:sz w:val="32"/>
          <w:szCs w:val="32"/>
          <w:u w:val="none"/>
        </w:rPr>
        <w:t>年度政府信息公开年度报告，全文由</w:t>
      </w:r>
      <w:r>
        <w:rPr>
          <w:rFonts w:hint="eastAsia" w:ascii="仿宋_GB2312" w:hAnsi="仿宋_GB2312" w:eastAsia="仿宋_GB2312" w:cs="仿宋_GB2312"/>
          <w:color w:val="3D3D3D"/>
          <w:sz w:val="32"/>
          <w:szCs w:val="32"/>
          <w:u w:val="none"/>
          <w:lang w:eastAsia="zh-CN"/>
        </w:rPr>
        <w:t>总体情况</w:t>
      </w:r>
      <w:r>
        <w:rPr>
          <w:rFonts w:hint="eastAsia" w:ascii="仿宋_GB2312" w:hAnsi="仿宋_GB2312" w:eastAsia="仿宋_GB2312" w:cs="仿宋_GB2312"/>
          <w:color w:val="3D3D3D"/>
          <w:sz w:val="32"/>
          <w:szCs w:val="32"/>
          <w:u w:val="none"/>
        </w:rPr>
        <w:t>、主动公开政府信息情况、收到和处理政府信息公开申请情况、政府信息公开行政复议、行政诉讼情况</w:t>
      </w:r>
      <w:r>
        <w:rPr>
          <w:rFonts w:hint="eastAsia" w:ascii="仿宋_GB2312" w:hAnsi="仿宋_GB2312" w:eastAsia="仿宋_GB2312" w:cs="仿宋_GB2312"/>
          <w:color w:val="3D3D3D"/>
          <w:sz w:val="32"/>
          <w:szCs w:val="32"/>
          <w:u w:val="none"/>
          <w:lang w:eastAsia="zh-CN"/>
        </w:rPr>
        <w:t>、</w:t>
      </w:r>
      <w:r>
        <w:rPr>
          <w:rFonts w:hint="eastAsia" w:ascii="仿宋_GB2312" w:hAnsi="仿宋_GB2312" w:eastAsia="仿宋_GB2312" w:cs="仿宋_GB2312"/>
          <w:color w:val="3D3D3D"/>
          <w:sz w:val="32"/>
          <w:szCs w:val="32"/>
          <w:u w:val="none"/>
        </w:rPr>
        <w:t>存在的主要问题及改进情况</w:t>
      </w:r>
      <w:r>
        <w:rPr>
          <w:rFonts w:hint="eastAsia" w:ascii="仿宋_GB2312" w:hAnsi="仿宋_GB2312" w:eastAsia="仿宋_GB2312" w:cs="仿宋_GB2312"/>
          <w:color w:val="3D3D3D"/>
          <w:sz w:val="32"/>
          <w:szCs w:val="32"/>
          <w:u w:val="none"/>
          <w:lang w:eastAsia="zh-CN"/>
        </w:rPr>
        <w:t>、</w:t>
      </w:r>
      <w:r>
        <w:rPr>
          <w:rFonts w:hint="eastAsia" w:ascii="仿宋_GB2312" w:hAnsi="仿宋_GB2312" w:eastAsia="仿宋_GB2312" w:cs="仿宋_GB2312"/>
          <w:color w:val="3D3D3D"/>
          <w:sz w:val="32"/>
          <w:szCs w:val="32"/>
          <w:u w:val="none"/>
        </w:rPr>
        <w:t>其他需要报告的事项</w:t>
      </w:r>
      <w:r>
        <w:rPr>
          <w:rFonts w:hint="eastAsia" w:ascii="仿宋_GB2312" w:hAnsi="仿宋_GB2312" w:eastAsia="仿宋_GB2312" w:cs="仿宋_GB2312"/>
          <w:color w:val="3D3D3D"/>
          <w:sz w:val="32"/>
          <w:szCs w:val="32"/>
          <w:u w:val="none"/>
          <w:lang w:val="en-US" w:eastAsia="zh-CN"/>
        </w:rPr>
        <w:t>六部分内容组成。报告中所列数据的统计期限为2021年1月1日起至2021年12月31日止。</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一、总体情况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2021年度，为了保障公民、法人和其他组织依法获取政府信息，提高政府工作的透明度，建设法治政府，充分发挥政府信息对人民群众生产、生活和经济社会活动的服务作用，本单位坚持以公开为常态、不公开为例外，遵循公正、公平、合法、便民的原则，及时、准确地公开政府信息。</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楷体" w:hAnsi="楷体" w:eastAsia="楷体" w:cs="楷体"/>
          <w:b/>
          <w:bCs/>
          <w:color w:val="3D3D3D"/>
          <w:sz w:val="32"/>
          <w:szCs w:val="32"/>
          <w:u w:val="none"/>
          <w:lang w:val="en-US" w:eastAsia="zh-CN"/>
        </w:rPr>
      </w:pPr>
      <w:r>
        <w:rPr>
          <w:rFonts w:hint="eastAsia" w:ascii="楷体" w:hAnsi="楷体" w:eastAsia="楷体" w:cs="楷体"/>
          <w:b/>
          <w:bCs/>
          <w:color w:val="3D3D3D"/>
          <w:sz w:val="32"/>
          <w:szCs w:val="32"/>
          <w:u w:val="none"/>
          <w:lang w:val="en-US" w:eastAsia="zh-CN"/>
        </w:rPr>
        <w:t>（一）主动公开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对涉及公众利益调整、需要公众广泛知晓或者需要公众参与决策的政府信息，本单位做到主动公开。定期公开政府预决算、部门预决算、“三公”经费等财政信息，及时发布最新的行政事业性收费目录和政府性基金目录，主动公开涉农补贴、乡村振兴、疫情防控等相关政策文件，确保财政资金直达基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楷体" w:hAnsi="楷体" w:eastAsia="楷体" w:cs="楷体"/>
          <w:b/>
          <w:bCs/>
          <w:color w:val="3D3D3D"/>
          <w:sz w:val="32"/>
          <w:szCs w:val="32"/>
          <w:u w:val="none"/>
          <w:lang w:val="en-US" w:eastAsia="zh-CN"/>
        </w:rPr>
      </w:pPr>
      <w:r>
        <w:rPr>
          <w:rFonts w:hint="eastAsia" w:ascii="楷体" w:hAnsi="楷体" w:eastAsia="楷体" w:cs="楷体"/>
          <w:b/>
          <w:bCs/>
          <w:color w:val="3D3D3D"/>
          <w:sz w:val="32"/>
          <w:szCs w:val="32"/>
          <w:u w:val="none"/>
          <w:lang w:val="en-US" w:eastAsia="zh-CN"/>
        </w:rPr>
        <w:t>（二）依申请公开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建立完善的政府信息公开申请渠道，为申请人依法申请获取政府信息提供便利。建立健全政府信息公开申请登记、审核、办理、答复、归档的工作制度，加强工作规范。</w:t>
      </w:r>
      <w:r>
        <w:rPr>
          <w:rFonts w:hint="default" w:ascii="仿宋_GB2312" w:hAnsi="仿宋_GB2312" w:eastAsia="仿宋_GB2312" w:cs="仿宋_GB2312"/>
          <w:color w:val="3D3D3D"/>
          <w:sz w:val="32"/>
          <w:szCs w:val="32"/>
          <w:u w:val="none"/>
          <w:lang w:val="en-US" w:eastAsia="zh-CN"/>
        </w:rPr>
        <w:t>在依申请办理过程中</w:t>
      </w:r>
      <w:r>
        <w:rPr>
          <w:rFonts w:hint="eastAsia" w:ascii="仿宋_GB2312" w:hAnsi="仿宋_GB2312" w:eastAsia="仿宋_GB2312" w:cs="仿宋_GB2312"/>
          <w:color w:val="3D3D3D"/>
          <w:sz w:val="32"/>
          <w:szCs w:val="32"/>
          <w:u w:val="none"/>
          <w:lang w:val="en-US" w:eastAsia="zh-CN"/>
        </w:rPr>
        <w:t>，更加</w:t>
      </w:r>
      <w:r>
        <w:rPr>
          <w:rFonts w:hint="default" w:ascii="仿宋_GB2312" w:hAnsi="仿宋_GB2312" w:eastAsia="仿宋_GB2312" w:cs="仿宋_GB2312"/>
          <w:color w:val="3D3D3D"/>
          <w:sz w:val="32"/>
          <w:szCs w:val="32"/>
          <w:u w:val="none"/>
          <w:lang w:val="en-US" w:eastAsia="zh-CN"/>
        </w:rPr>
        <w:t>注重与申请人的沟通交流，有针对性地提高办理质量。</w:t>
      </w:r>
      <w:r>
        <w:rPr>
          <w:rFonts w:hint="eastAsia" w:ascii="仿宋_GB2312" w:hAnsi="仿宋_GB2312" w:eastAsia="仿宋_GB2312" w:cs="仿宋_GB2312"/>
          <w:color w:val="3D3D3D"/>
          <w:sz w:val="32"/>
          <w:szCs w:val="32"/>
          <w:u w:val="none"/>
          <w:lang w:val="en-US" w:eastAsia="zh-CN"/>
        </w:rPr>
        <w:t>针对</w:t>
      </w:r>
      <w:r>
        <w:rPr>
          <w:rFonts w:hint="default" w:ascii="仿宋_GB2312" w:hAnsi="仿宋_GB2312" w:eastAsia="仿宋_GB2312" w:cs="仿宋_GB2312"/>
          <w:color w:val="3D3D3D"/>
          <w:sz w:val="32"/>
          <w:szCs w:val="32"/>
          <w:u w:val="none"/>
          <w:lang w:val="en-US" w:eastAsia="zh-CN"/>
        </w:rPr>
        <w:t>投诉和建议，在调查核实的基础上做好解释工作。</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default" w:ascii="楷体" w:hAnsi="楷体" w:eastAsia="楷体" w:cs="楷体"/>
          <w:b/>
          <w:bCs/>
          <w:color w:val="3D3D3D"/>
          <w:sz w:val="32"/>
          <w:szCs w:val="32"/>
          <w:u w:val="none"/>
          <w:lang w:val="en-US" w:eastAsia="zh-CN"/>
        </w:rPr>
      </w:pPr>
      <w:r>
        <w:rPr>
          <w:rFonts w:hint="eastAsia" w:ascii="楷体" w:hAnsi="楷体" w:eastAsia="楷体" w:cs="楷体"/>
          <w:b/>
          <w:bCs/>
          <w:color w:val="3D3D3D"/>
          <w:sz w:val="32"/>
          <w:szCs w:val="32"/>
          <w:u w:val="none"/>
          <w:lang w:val="en-US" w:eastAsia="zh-CN"/>
        </w:rPr>
        <w:t>（三）政府信息管理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除精准围绕规定的重点领域设置栏目外，还另设“公共服务与民生”“三大攻坚战”“‘六稳’‘六保’疫情防控”“财政资金直达基层”等新栏目，及时、全面地公开群众关心问题。在公布重大决策前，均进行重大决策预公开，公布收集的“意见采纳情况”。</w:t>
      </w:r>
      <w:bookmarkStart w:id="0" w:name="_GoBack"/>
      <w:bookmarkEnd w:id="0"/>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楷体" w:hAnsi="楷体" w:eastAsia="楷体" w:cs="楷体"/>
          <w:b/>
          <w:bCs/>
          <w:color w:val="3D3D3D"/>
          <w:sz w:val="32"/>
          <w:szCs w:val="32"/>
          <w:u w:val="none"/>
          <w:lang w:val="en-US" w:eastAsia="zh-CN"/>
        </w:rPr>
      </w:pPr>
      <w:r>
        <w:rPr>
          <w:rFonts w:hint="eastAsia" w:ascii="楷体" w:hAnsi="楷体" w:eastAsia="楷体" w:cs="楷体"/>
          <w:b/>
          <w:bCs/>
          <w:color w:val="3D3D3D"/>
          <w:sz w:val="32"/>
          <w:szCs w:val="32"/>
          <w:u w:val="none"/>
          <w:lang w:val="en-US" w:eastAsia="zh-CN"/>
        </w:rPr>
        <w:t>（四）平台建设</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default" w:ascii="仿宋_GB2312" w:hAnsi="仿宋_GB2312" w:eastAsia="仿宋_GB2312" w:cs="仿宋_GB2312"/>
          <w:color w:val="3D3D3D"/>
          <w:sz w:val="32"/>
          <w:szCs w:val="32"/>
          <w:u w:val="none"/>
          <w:lang w:val="en-US" w:eastAsia="zh-CN"/>
        </w:rPr>
        <w:t>集中公开政府信息公开指南、法定主动公开内容、政府信息公开年报等内容，明确公众获取主动公开和依申请公开信息的主要渠道和具体方式，</w:t>
      </w:r>
      <w:r>
        <w:rPr>
          <w:rFonts w:hint="eastAsia" w:ascii="仿宋_GB2312" w:hAnsi="仿宋_GB2312" w:eastAsia="仿宋_GB2312" w:cs="仿宋_GB2312"/>
          <w:color w:val="3D3D3D"/>
          <w:sz w:val="32"/>
          <w:szCs w:val="32"/>
          <w:u w:val="none"/>
          <w:lang w:val="en-US" w:eastAsia="zh-CN"/>
        </w:rPr>
        <w:t>方便</w:t>
      </w:r>
      <w:r>
        <w:rPr>
          <w:rFonts w:hint="default" w:ascii="仿宋_GB2312" w:hAnsi="仿宋_GB2312" w:eastAsia="仿宋_GB2312" w:cs="仿宋_GB2312"/>
          <w:color w:val="3D3D3D"/>
          <w:sz w:val="32"/>
          <w:szCs w:val="32"/>
          <w:u w:val="none"/>
          <w:lang w:val="en-US" w:eastAsia="zh-CN"/>
        </w:rPr>
        <w:t>群众</w:t>
      </w:r>
      <w:r>
        <w:rPr>
          <w:rFonts w:hint="eastAsia" w:ascii="仿宋_GB2312" w:hAnsi="仿宋_GB2312" w:eastAsia="仿宋_GB2312" w:cs="仿宋_GB2312"/>
          <w:color w:val="3D3D3D"/>
          <w:sz w:val="32"/>
          <w:szCs w:val="32"/>
          <w:u w:val="none"/>
          <w:lang w:val="en-US" w:eastAsia="zh-CN"/>
        </w:rPr>
        <w:t>通过正规渠道</w:t>
      </w:r>
      <w:r>
        <w:rPr>
          <w:rFonts w:hint="default" w:ascii="仿宋_GB2312" w:hAnsi="仿宋_GB2312" w:eastAsia="仿宋_GB2312" w:cs="仿宋_GB2312"/>
          <w:color w:val="3D3D3D"/>
          <w:sz w:val="32"/>
          <w:szCs w:val="32"/>
          <w:u w:val="none"/>
          <w:lang w:val="en-US" w:eastAsia="zh-CN"/>
        </w:rPr>
        <w:t>查找政府信息。</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楷体" w:hAnsi="楷体" w:eastAsia="楷体" w:cs="楷体"/>
          <w:b/>
          <w:bCs/>
          <w:color w:val="3D3D3D"/>
          <w:sz w:val="32"/>
          <w:szCs w:val="32"/>
          <w:u w:val="none"/>
          <w:lang w:val="en-US" w:eastAsia="zh-CN"/>
        </w:rPr>
      </w:pPr>
      <w:r>
        <w:rPr>
          <w:rFonts w:hint="eastAsia" w:ascii="楷体" w:hAnsi="楷体" w:eastAsia="楷体" w:cs="楷体"/>
          <w:b/>
          <w:bCs/>
          <w:color w:val="3D3D3D"/>
          <w:sz w:val="32"/>
          <w:szCs w:val="32"/>
          <w:u w:val="none"/>
          <w:lang w:val="en-US" w:eastAsia="zh-CN"/>
        </w:rPr>
        <w:t>（五）监督保障信息</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积极配合政府信息公开工作主管部门对本单位的日常指导和监督检查，及时整改信息公开过程中不到位的地方。遵循“涉密信息不上网，上网信息不涉密”的原则，确保政务公开内容无涉及国家秘密和内部敏感事项。积极参与宁海县人民政府组织的</w:t>
      </w:r>
      <w:r>
        <w:rPr>
          <w:rFonts w:hint="default" w:ascii="仿宋_GB2312" w:hAnsi="仿宋_GB2312" w:eastAsia="仿宋_GB2312" w:cs="仿宋_GB2312"/>
          <w:color w:val="3D3D3D"/>
          <w:sz w:val="32"/>
          <w:szCs w:val="32"/>
          <w:u w:val="none"/>
          <w:lang w:val="en-US" w:eastAsia="zh-CN"/>
        </w:rPr>
        <w:t>政务公开业务培训，</w:t>
      </w:r>
      <w:r>
        <w:rPr>
          <w:rFonts w:hint="eastAsia" w:ascii="仿宋_GB2312" w:hAnsi="仿宋_GB2312" w:eastAsia="仿宋_GB2312" w:cs="仿宋_GB2312"/>
          <w:color w:val="3D3D3D"/>
          <w:sz w:val="32"/>
          <w:szCs w:val="32"/>
          <w:u w:val="none"/>
          <w:lang w:val="en-US" w:eastAsia="zh-CN"/>
        </w:rPr>
        <w:t>切实</w:t>
      </w:r>
      <w:r>
        <w:rPr>
          <w:rFonts w:hint="default" w:ascii="仿宋_GB2312" w:hAnsi="仿宋_GB2312" w:eastAsia="仿宋_GB2312" w:cs="仿宋_GB2312"/>
          <w:color w:val="3D3D3D"/>
          <w:sz w:val="32"/>
          <w:szCs w:val="32"/>
          <w:u w:val="none"/>
          <w:lang w:val="en-US" w:eastAsia="zh-CN"/>
        </w:rPr>
        <w:t>提高工作人员的能力水平。</w:t>
      </w:r>
      <w:r>
        <w:rPr>
          <w:rFonts w:hint="eastAsia" w:ascii="仿宋_GB2312" w:hAnsi="仿宋_GB2312" w:eastAsia="仿宋_GB2312" w:cs="仿宋_GB2312"/>
          <w:color w:val="3D3D3D"/>
          <w:sz w:val="32"/>
          <w:szCs w:val="32"/>
          <w:u w:val="none"/>
          <w:lang w:val="en-US" w:eastAsia="zh-CN"/>
        </w:rPr>
        <w:t>2021年，未发生因政务公开工作被责任追究情况。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二、主动公开政府信息情况</w:t>
      </w:r>
    </w:p>
    <w:tbl>
      <w:tblPr>
        <w:tblStyle w:val="3"/>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信息内容</w:t>
            </w:r>
          </w:p>
        </w:tc>
        <w:tc>
          <w:tcPr>
            <w:tcW w:w="260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制发件数</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废止件数</w:t>
            </w:r>
          </w:p>
        </w:tc>
        <w:tc>
          <w:tcPr>
            <w:tcW w:w="198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规章</w:t>
            </w:r>
          </w:p>
        </w:tc>
        <w:tc>
          <w:tcPr>
            <w:tcW w:w="260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行政</w:t>
            </w:r>
            <w:r>
              <w:rPr>
                <w:rFonts w:hint="eastAsia" w:ascii="宋体" w:hAnsi="宋体" w:eastAsia="宋体" w:cs="宋体"/>
                <w:sz w:val="20"/>
                <w:szCs w:val="20"/>
              </w:rPr>
              <w:t>规范性文件</w:t>
            </w:r>
          </w:p>
        </w:tc>
        <w:tc>
          <w:tcPr>
            <w:tcW w:w="260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信息内容</w:t>
            </w:r>
          </w:p>
        </w:tc>
        <w:tc>
          <w:tcPr>
            <w:tcW w:w="68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本年</w:t>
            </w:r>
            <w:r>
              <w:rPr>
                <w:rFonts w:hint="eastAsia" w:ascii="宋体" w:hAnsi="宋体" w:eastAsia="宋体" w:cs="宋体"/>
                <w:sz w:val="20"/>
                <w:szCs w:val="20"/>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行政许可</w:t>
            </w:r>
          </w:p>
        </w:tc>
        <w:tc>
          <w:tcPr>
            <w:tcW w:w="68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信息内容</w:t>
            </w:r>
          </w:p>
        </w:tc>
        <w:tc>
          <w:tcPr>
            <w:tcW w:w="68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本年</w:t>
            </w:r>
            <w:r>
              <w:rPr>
                <w:rFonts w:hint="eastAsia" w:ascii="宋体" w:hAnsi="宋体" w:eastAsia="宋体" w:cs="宋体"/>
                <w:sz w:val="20"/>
                <w:szCs w:val="20"/>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行政处罚</w:t>
            </w:r>
          </w:p>
        </w:tc>
        <w:tc>
          <w:tcPr>
            <w:tcW w:w="68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行政强制</w:t>
            </w:r>
          </w:p>
        </w:tc>
        <w:tc>
          <w:tcPr>
            <w:tcW w:w="68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信息内容</w:t>
            </w:r>
          </w:p>
        </w:tc>
        <w:tc>
          <w:tcPr>
            <w:tcW w:w="68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行政事业性收费</w:t>
            </w:r>
          </w:p>
        </w:tc>
        <w:tc>
          <w:tcPr>
            <w:tcW w:w="6857"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0</w:t>
            </w:r>
          </w:p>
        </w:tc>
      </w:tr>
    </w:tbl>
    <w:p>
      <w:pPr>
        <w:pStyle w:val="2"/>
        <w:keepNext w:val="0"/>
        <w:keepLines w:val="0"/>
        <w:pageBreakBefore w:val="0"/>
        <w:widowControl/>
        <w:kinsoku/>
        <w:wordWrap/>
        <w:overflowPunct/>
        <w:topLinePunct w:val="0"/>
        <w:autoSpaceDE/>
        <w:autoSpaceDN/>
        <w:bidi w:val="0"/>
        <w:adjustRightInd/>
        <w:snapToGrid/>
        <w:spacing w:before="0" w:beforeAutospacing="0" w:after="240" w:afterAutospacing="0" w:line="240" w:lineRule="auto"/>
        <w:ind w:firstLine="640" w:firstLineChars="200"/>
        <w:jc w:val="both"/>
        <w:textAlignment w:val="auto"/>
        <w:rPr>
          <w:rFonts w:hint="eastAsia"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三、收到和处理政府信息公开申请情况</w:t>
      </w:r>
    </w:p>
    <w:tbl>
      <w:tblPr>
        <w:tblStyle w:val="3"/>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5"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5174" w:type="dxa"/>
            <w:gridSpan w:val="7"/>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5"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839"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自然人</w:t>
            </w:r>
          </w:p>
        </w:tc>
        <w:tc>
          <w:tcPr>
            <w:tcW w:w="3705" w:type="dxa"/>
            <w:gridSpan w:val="5"/>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法人或其他组织</w:t>
            </w:r>
          </w:p>
        </w:tc>
        <w:tc>
          <w:tcPr>
            <w:tcW w:w="63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5"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83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商业企业</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科研机构</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社会公益组织</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法律服务机构</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其他</w:t>
            </w:r>
          </w:p>
        </w:tc>
        <w:tc>
          <w:tcPr>
            <w:tcW w:w="63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4225"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5</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4225"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二、上年</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政府信息公开申请数量</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17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（一）予以公开</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1</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317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1</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（三）不予公开</w:t>
            </w: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1.属于国家秘密</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（四）无法提供</w:t>
            </w: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3</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（五）不予处理</w:t>
            </w: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2.重复申请</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（六）其他</w:t>
            </w:r>
            <w:r>
              <w:rPr>
                <w:rFonts w:hint="eastAsia" w:ascii="宋体" w:hAnsi="宋体" w:eastAsia="宋体" w:cs="宋体"/>
                <w:sz w:val="20"/>
                <w:szCs w:val="20"/>
                <w:lang w:val="en-US" w:eastAsia="zh-CN"/>
              </w:rPr>
              <w:t>处理</w:t>
            </w: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i w:val="0"/>
                <w:caps w:val="0"/>
                <w:color w:val="333333"/>
                <w:spacing w:val="0"/>
                <w:sz w:val="18"/>
                <w:szCs w:val="18"/>
                <w:shd w:val="clear" w:color="auto" w:fill="FFFFFF"/>
              </w:rPr>
              <w:t>2.申请人逾期未按收费通知要求缴纳费用、行政机关不再处理其政府信息公开申请</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114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20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3.其他</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0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p>
        </w:tc>
        <w:tc>
          <w:tcPr>
            <w:tcW w:w="317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（七）总计</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5</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225"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0"/>
                <w:szCs w:val="20"/>
              </w:rPr>
            </w:pPr>
            <w:r>
              <w:rPr>
                <w:rFonts w:hint="eastAsia" w:ascii="宋体" w:hAnsi="宋体" w:eastAsia="宋体" w:cs="宋体"/>
                <w:sz w:val="20"/>
                <w:szCs w:val="20"/>
              </w:rPr>
              <w:t>四、</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下年度继续办理</w:t>
            </w:r>
          </w:p>
        </w:tc>
        <w:tc>
          <w:tcPr>
            <w:tcW w:w="83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sz w:val="20"/>
                <w:szCs w:val="20"/>
                <w:lang w:val="en-US" w:eastAsia="zh-CN"/>
              </w:rPr>
            </w:pPr>
            <w:r>
              <w:rPr>
                <w:rFonts w:hint="eastAsia" w:ascii="宋体" w:hAnsi="宋体" w:cs="宋体"/>
                <w:sz w:val="20"/>
                <w:szCs w:val="20"/>
                <w:lang w:val="en-US" w:eastAsia="zh-CN"/>
              </w:rPr>
              <w:t>0</w:t>
            </w:r>
          </w:p>
        </w:tc>
      </w:tr>
    </w:tbl>
    <w:p>
      <w:pPr>
        <w:pStyle w:val="2"/>
        <w:keepNext w:val="0"/>
        <w:keepLines w:val="0"/>
        <w:pageBreakBefore w:val="0"/>
        <w:widowControl/>
        <w:kinsoku/>
        <w:wordWrap/>
        <w:overflowPunct/>
        <w:topLinePunct w:val="0"/>
        <w:autoSpaceDE/>
        <w:autoSpaceDN/>
        <w:bidi w:val="0"/>
        <w:adjustRightInd/>
        <w:snapToGrid/>
        <w:spacing w:before="0" w:beforeAutospacing="0" w:after="240" w:afterAutospacing="0" w:line="240" w:lineRule="auto"/>
        <w:ind w:firstLine="640" w:firstLineChars="200"/>
        <w:jc w:val="both"/>
        <w:textAlignment w:val="auto"/>
        <w:rPr>
          <w:rFonts w:hint="eastAsia" w:ascii="宋体" w:hAnsi="宋体" w:cs="宋体"/>
        </w:rPr>
      </w:pPr>
      <w:r>
        <w:rPr>
          <w:rFonts w:hint="eastAsia" w:ascii="黑体" w:hAnsi="黑体" w:eastAsia="黑体" w:cs="黑体"/>
          <w:b w:val="0"/>
          <w:bCs/>
          <w:color w:val="333333"/>
          <w:sz w:val="32"/>
          <w:szCs w:val="32"/>
          <w:lang w:val="en-US" w:eastAsia="zh-CN"/>
        </w:rPr>
        <w:t>四、政府信息公开行政复议、行政诉讼情况</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行政复议</w:t>
            </w:r>
          </w:p>
        </w:tc>
        <w:tc>
          <w:tcPr>
            <w:tcW w:w="5531"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p>
        </w:tc>
        <w:tc>
          <w:tcPr>
            <w:tcW w:w="2765" w:type="dxa"/>
            <w:gridSpan w:val="5"/>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2766" w:type="dxa"/>
            <w:gridSpan w:val="5"/>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尚未审结</w:t>
            </w:r>
          </w:p>
        </w:tc>
        <w:tc>
          <w:tcPr>
            <w:tcW w:w="55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240" w:afterAutospacing="0" w:line="240" w:lineRule="auto"/>
        <w:ind w:firstLine="640" w:firstLineChars="200"/>
        <w:jc w:val="both"/>
        <w:textAlignment w:val="auto"/>
        <w:rPr>
          <w:rFonts w:hint="eastAsia"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存在的主要问题及改进情况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24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2021年，本单位政府信息公开工作取得了一定成效，但与公众的需求还存在一定差距，主要是：政务公开信息量少，内容单一，重点不突出；政策解读形式单一，多以图表形式表现；依申请公开的办理能力和服务水平仍需进一步提高。</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240" w:afterAutospacing="0" w:line="240" w:lineRule="auto"/>
        <w:ind w:right="0" w:rightChars="0" w:firstLine="640"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2022年，本单位将从以下几方面进行改进：</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240" w:afterAutospacing="0" w:line="240" w:lineRule="auto"/>
        <w:ind w:right="0" w:rightChars="0" w:firstLine="643"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楷体" w:hAnsi="楷体" w:eastAsia="楷体" w:cs="楷体"/>
          <w:b/>
          <w:bCs/>
          <w:color w:val="3D3D3D"/>
          <w:sz w:val="32"/>
          <w:szCs w:val="32"/>
          <w:u w:val="none"/>
          <w:lang w:val="en-US" w:eastAsia="zh-CN"/>
        </w:rPr>
        <w:t>一是加强宣传。</w:t>
      </w:r>
      <w:r>
        <w:rPr>
          <w:rFonts w:hint="eastAsia" w:ascii="仿宋_GB2312" w:hAnsi="仿宋_GB2312" w:eastAsia="仿宋_GB2312" w:cs="仿宋_GB2312"/>
          <w:color w:val="3D3D3D"/>
          <w:sz w:val="32"/>
          <w:szCs w:val="32"/>
          <w:u w:val="none"/>
          <w:lang w:val="en-US" w:eastAsia="zh-CN"/>
        </w:rPr>
        <w:t>提高人民群众参政议政水平，完善社会监督机制。运用多种媒介加大政务公开的宣传力度，让人民群众熟悉政务公开，将政务公开置于上级领导部门、社会各界、新闻媒体的监督之下。</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楷体" w:hAnsi="楷体" w:eastAsia="楷体" w:cs="楷体"/>
          <w:b/>
          <w:bCs/>
          <w:color w:val="3D3D3D"/>
          <w:sz w:val="32"/>
          <w:szCs w:val="32"/>
          <w:u w:val="none"/>
          <w:lang w:val="en-US" w:eastAsia="zh-CN"/>
        </w:rPr>
        <w:t>二是加强培训。</w:t>
      </w:r>
      <w:r>
        <w:rPr>
          <w:rFonts w:hint="eastAsia" w:ascii="仿宋_GB2312" w:hAnsi="仿宋_GB2312" w:eastAsia="仿宋_GB2312" w:cs="仿宋_GB2312"/>
          <w:color w:val="3D3D3D"/>
          <w:sz w:val="32"/>
          <w:szCs w:val="32"/>
          <w:u w:val="none"/>
          <w:lang w:val="en-US" w:eastAsia="zh-CN"/>
        </w:rPr>
        <w:t>造就一支具有现代公共管理知识和理念的政务公开队伍，加强服务意识、专业技能教育，造就一批政务公开的专门人才。</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color w:val="3D3D3D"/>
          <w:sz w:val="32"/>
          <w:szCs w:val="32"/>
          <w:u w:val="none"/>
          <w:lang w:val="en-US" w:eastAsia="zh-CN"/>
        </w:rPr>
      </w:pPr>
      <w:r>
        <w:rPr>
          <w:rFonts w:hint="eastAsia" w:ascii="楷体" w:hAnsi="楷体" w:eastAsia="楷体" w:cs="楷体"/>
          <w:b/>
          <w:bCs/>
          <w:color w:val="3D3D3D"/>
          <w:sz w:val="32"/>
          <w:szCs w:val="32"/>
          <w:u w:val="none"/>
          <w:lang w:val="en-US" w:eastAsia="zh-CN"/>
        </w:rPr>
        <w:t>三是加强服务意识。</w:t>
      </w:r>
      <w:r>
        <w:rPr>
          <w:rFonts w:hint="eastAsia" w:ascii="仿宋_GB2312" w:hAnsi="仿宋_GB2312" w:eastAsia="仿宋_GB2312" w:cs="仿宋_GB2312"/>
          <w:color w:val="3D3D3D"/>
          <w:sz w:val="32"/>
          <w:szCs w:val="32"/>
          <w:u w:val="none"/>
          <w:lang w:val="en-US" w:eastAsia="zh-CN"/>
        </w:rPr>
        <w:t>转变传统管理理念思想，真正转变到服务群众的理念上来，优化处理信息公关危机的能力。加大群众对政务公开的满意度测评和意见反馈频率，真正把服务理念贯穿始终，做到取计于民、用计于民。</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lang w:val="en-US" w:eastAsia="zh-CN"/>
        </w:rPr>
        <w:t>六、其他需要报告的事项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仿宋_GB2312" w:hAnsi="仿宋_GB2312" w:eastAsia="仿宋_GB2312" w:cs="仿宋_GB2312"/>
          <w:color w:val="3D3D3D"/>
          <w:sz w:val="32"/>
          <w:szCs w:val="32"/>
          <w:u w:val="none"/>
          <w:lang w:val="en-US" w:eastAsia="zh-CN"/>
        </w:rPr>
      </w:pPr>
      <w:r>
        <w:rPr>
          <w:rFonts w:hint="eastAsia" w:ascii="仿宋_GB2312" w:hAnsi="仿宋_GB2312" w:eastAsia="仿宋_GB2312" w:cs="仿宋_GB2312"/>
          <w:color w:val="3D3D3D"/>
          <w:sz w:val="32"/>
          <w:szCs w:val="32"/>
          <w:u w:val="none"/>
          <w:lang w:val="en-US" w:eastAsia="zh-CN"/>
        </w:rPr>
        <w:t>本机关2021年未发出依申请公开缴款通知书，也未对申请人收取信息处理费，特此说明。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A58A"/>
    <w:multiLevelType w:val="singleLevel"/>
    <w:tmpl w:val="052DA58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23B25"/>
    <w:rsid w:val="19CF1044"/>
    <w:rsid w:val="2A2209AC"/>
    <w:rsid w:val="2E091629"/>
    <w:rsid w:val="319A10D0"/>
    <w:rsid w:val="3F1D222C"/>
    <w:rsid w:val="45A007F8"/>
    <w:rsid w:val="5C123B25"/>
    <w:rsid w:val="6346224B"/>
    <w:rsid w:val="76DA2D05"/>
    <w:rsid w:val="783E5549"/>
    <w:rsid w:val="78A9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2022-01-10T08:31:00Z</dcterms:created>
  <dc:creator>宁海县财政局李朝露</dc:creator>
  <cp:lastModifiedBy>宁海县财政局李朝露</cp:lastModifiedBy>
  <dcterms:modified xsi:type="dcterms:W3CDTF">2022-02-28T07:03:23Z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