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 w:beforeAutospacing="0" w:after="30" w:afterAutospacing="0"/>
        <w:ind w:left="0" w:right="0" w:firstLine="883" w:firstLineChars="200"/>
        <w:jc w:val="center"/>
        <w:rPr>
          <w:rFonts w:hint="eastAsia" w:ascii="仿宋" w:hAnsi="仿宋" w:eastAsia="仿宋" w:cs="仿宋"/>
          <w:b/>
          <w:bCs/>
          <w:i w:val="0"/>
          <w:caps w:val="0"/>
          <w:color w:val="3D3D3D"/>
          <w:spacing w:val="0"/>
          <w:kern w:val="0"/>
          <w:sz w:val="44"/>
          <w:szCs w:val="44"/>
          <w:shd w:val="clear" w:fill="FFFFFF"/>
          <w:lang w:val="en-US" w:eastAsia="zh-CN" w:bidi="ar"/>
        </w:rPr>
      </w:pPr>
      <w:r>
        <w:rPr>
          <w:rFonts w:hint="eastAsia" w:ascii="仿宋" w:hAnsi="仿宋" w:eastAsia="仿宋" w:cs="仿宋"/>
          <w:b/>
          <w:bCs/>
          <w:i w:val="0"/>
          <w:caps w:val="0"/>
          <w:color w:val="3D3D3D"/>
          <w:spacing w:val="0"/>
          <w:kern w:val="0"/>
          <w:sz w:val="44"/>
          <w:szCs w:val="44"/>
          <w:shd w:val="clear" w:fill="FFFFFF"/>
          <w:lang w:val="en-US" w:eastAsia="zh-CN" w:bidi="ar"/>
        </w:rPr>
        <w:t>宁海县住房和城乡建设局2019年政府信息公开工作年度报告</w:t>
      </w:r>
    </w:p>
    <w:p>
      <w:pPr>
        <w:pStyle w:val="2"/>
        <w:keepNext w:val="0"/>
        <w:keepLines w:val="0"/>
        <w:widowControl/>
        <w:suppressLineNumbers w:val="0"/>
        <w:shd w:val="clear" w:fill="FFFFFF"/>
        <w:spacing w:before="30" w:beforeAutospacing="0" w:after="30" w:afterAutospacing="0"/>
        <w:ind w:left="0" w:right="0" w:firstLine="800" w:firstLineChars="200"/>
        <w:jc w:val="center"/>
        <w:rPr>
          <w:rFonts w:hint="eastAsia" w:ascii="仿宋" w:hAnsi="仿宋" w:eastAsia="仿宋" w:cs="仿宋"/>
          <w:b w:val="0"/>
          <w:i w:val="0"/>
          <w:caps w:val="0"/>
          <w:color w:val="3D3D3D"/>
          <w:spacing w:val="0"/>
          <w:kern w:val="0"/>
          <w:sz w:val="40"/>
          <w:szCs w:val="40"/>
          <w:shd w:val="clear" w:fill="FFFFFF"/>
          <w:lang w:val="en-US" w:eastAsia="zh-CN" w:bidi="ar"/>
        </w:rPr>
      </w:pPr>
    </w:p>
    <w:p>
      <w:pPr>
        <w:ind w:firstLine="620" w:firstLineChars="200"/>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本年报根据《中华人民共和国政府信息公开条例》（以下简《条例》）的要求，按照2019年宁海县住房和城乡建设局信息公开工作实际编制而成。本年报由总体情况，主动公开政府信息情况，收到和处理政府信息公开申请情况，政府信息公开行政复议、行政诉讼情况，存在的主要问题及改进情况，其他需要报告的事项等六个部分组成。本年报中所列数据的统计日期自2019年1月1日起至2019年12月31日止。</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lang w:val="en-US" w:eastAsia="zh-CN"/>
        </w:rPr>
      </w:pPr>
      <w:r>
        <w:rPr>
          <w:rFonts w:hint="eastAsia" w:ascii="仿宋" w:hAnsi="仿宋" w:eastAsia="仿宋" w:cs="仿宋"/>
          <w:b w:val="0"/>
          <w:i w:val="0"/>
          <w:caps w:val="0"/>
          <w:color w:val="3D3D3D"/>
          <w:spacing w:val="0"/>
          <w:kern w:val="0"/>
          <w:sz w:val="31"/>
          <w:szCs w:val="31"/>
          <w:shd w:val="clear" w:fill="FFFFFF"/>
        </w:rPr>
        <w:t>一、概述</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lang w:val="en-US" w:eastAsia="zh-CN"/>
        </w:rPr>
      </w:pPr>
      <w:r>
        <w:rPr>
          <w:rFonts w:hint="eastAsia" w:ascii="仿宋" w:hAnsi="仿宋" w:eastAsia="仿宋" w:cs="仿宋"/>
          <w:b w:val="0"/>
          <w:i w:val="0"/>
          <w:caps w:val="0"/>
          <w:color w:val="3D3D3D"/>
          <w:spacing w:val="0"/>
          <w:kern w:val="0"/>
          <w:sz w:val="31"/>
          <w:szCs w:val="31"/>
          <w:shd w:val="clear" w:fill="FFFFFF"/>
          <w:lang w:val="en-US" w:eastAsia="zh-CN"/>
        </w:rPr>
        <w:t>2019年，我局紧紧围绕县委、县政府和上级部门的工作部署和要求，认真贯彻落实国务院及省、市、县政务公开工作要点，结合我局实际，进一步加强组织领导、健全制度机制、明确责任分工，以全面推进“最多跑一次”改革为契机，不断拓展信息公开的深度和广度，认真办理各类政府信息公开申请，不断创新公开方式，拓展信息公开渠道，扩大政务公开工作覆盖面，使政府信息公开工作规范、有序、健康发展，并取得较大成效。</w:t>
      </w:r>
    </w:p>
    <w:p>
      <w:pPr>
        <w:pStyle w:val="2"/>
        <w:keepNext w:val="0"/>
        <w:keepLines w:val="0"/>
        <w:widowControl/>
        <w:suppressLineNumbers w:val="0"/>
        <w:shd w:val="clear" w:fill="FFFFFF"/>
        <w:spacing w:before="30" w:beforeAutospacing="0" w:after="30" w:afterAutospacing="0"/>
        <w:ind w:left="0" w:right="0" w:firstLine="0"/>
        <w:jc w:val="left"/>
      </w:pPr>
      <w:r>
        <w:rPr>
          <w:rFonts w:ascii="仿宋" w:hAnsi="仿宋" w:eastAsia="仿宋" w:cs="仿宋"/>
          <w:b w:val="0"/>
          <w:i w:val="0"/>
          <w:caps w:val="0"/>
          <w:color w:val="3D3D3D"/>
          <w:spacing w:val="0"/>
          <w:kern w:val="0"/>
          <w:sz w:val="31"/>
          <w:szCs w:val="31"/>
          <w:shd w:val="clear" w:fill="FFFFFF"/>
          <w:lang w:val="en-US" w:eastAsia="zh-CN" w:bidi="ar"/>
        </w:rPr>
        <w:t>（一）建立健全工作机制、制度规范情况</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政务公开和发布的协调工作，由分管领导把关，局办公室具体实施和落实。根据《宁海县政府信息公开指南和公开目录编制规范》要求，我局办公室认真对照《规范》规定的类别名称及描述内容，对本单位应公开的政府信息进行逐一梳理，并根据公开信息的类别确定对应的信息格式，做好拟发布的政府信息保密和有关审查工作。以办名义制发的公文、办领导讲话和政务活动、重大的决策、重要的调查数据和规范性文件等，严格遵守信息发布秩序，维护好我单位政府信息公开工作的严肃性、一致性。</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（二）落实和制定相关配套措施情况</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为妥善处理好公开和保密的关系，对即将进入公开程序的各类政府信息严格按照上级相关审查规定的要求，对信息公开的范围、形式、时限、程序等的合法性以及拟公开信息的准确性、权威性、完整性、时效性和安全性进行保密审查，对可能涉及国家秘密的拟公开信息进行保密审查后做出谨慎的处理，切实履行好保密职责的前提下，又充分尊重群众的知情权。</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（三）《条例》学习、宣传、培训、督查情况</w:t>
      </w: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 xml:space="preserve">  为更好履行《条例》规定职责和义务，通过全体干部学习大会传达《条例》的相关规定，并及时的派人参加政务公开的相关技能培训，在县政府信息公开领导小组办公室的指导、协调、监督、检查下，我局政务公开的主动性、常态性、基础性工作得以不断的健全、完善和加强。</w:t>
      </w:r>
    </w:p>
    <w:p>
      <w:pPr>
        <w:pStyle w:val="2"/>
        <w:keepNext w:val="0"/>
        <w:keepLines w:val="0"/>
        <w:widowControl/>
        <w:numPr>
          <w:ilvl w:val="0"/>
          <w:numId w:val="1"/>
        </w:numPr>
        <w:suppressLineNumbers w:val="0"/>
        <w:shd w:val="clear" w:fill="FFFFFF"/>
        <w:spacing w:before="30" w:beforeAutospacing="0" w:after="30" w:afterAutospacing="0"/>
        <w:ind w:left="0" w:right="0" w:firstLine="310" w:firstLineChars="10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持续深化监督和保障机制</w:t>
      </w:r>
    </w:p>
    <w:p>
      <w:pPr>
        <w:pStyle w:val="2"/>
        <w:keepNext w:val="0"/>
        <w:keepLines w:val="0"/>
        <w:widowControl/>
        <w:numPr>
          <w:ilvl w:val="0"/>
          <w:numId w:val="2"/>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监督管理</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局党组明确一名副局长负责政府信息公开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局办公室负责信息公开统筹协调，法规科负责依申请公开的法制审核</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科室实行科长负责制，指定工作人员负责本科室的信息公开</w:t>
      </w:r>
    </w:p>
    <w:p>
      <w:pPr>
        <w:pStyle w:val="2"/>
        <w:keepNext w:val="0"/>
        <w:keepLines w:val="0"/>
        <w:widowControl/>
        <w:numPr>
          <w:ilvl w:val="0"/>
          <w:numId w:val="2"/>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保密审查</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建立保密审查机制，明确审查程序和责任人</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对主动公开的，明确要求科室及时申报，办公室事前审核，准确把握公开范围、形式和时间</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对依申请公开，由办公室统一，承办处理提出办理意见，法规科提出法制审核意见，最后报分管副局长审定</w:t>
      </w:r>
    </w:p>
    <w:p>
      <w:pPr>
        <w:pStyle w:val="2"/>
        <w:keepNext w:val="0"/>
        <w:keepLines w:val="0"/>
        <w:widowControl/>
        <w:numPr>
          <w:ilvl w:val="0"/>
          <w:numId w:val="2"/>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社会监督</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把涉及群众和企业切身利益的各类权力运行过程作为信息公开的重点内容，对决策、执行、结果等信息依法公开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对权力事项办理办事流程、完成时限、受理人及联系电话等信息主动公开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default"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通过依申请公开、局长信箱等方式，及时向社会公众、服务对象和基层单位提供信息和解决问题</w:t>
      </w: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numPr>
          <w:ilvl w:val="0"/>
          <w:numId w:val="3"/>
        </w:numPr>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主动公开政府信息的情况</w:t>
      </w:r>
    </w:p>
    <w:tbl>
      <w:tblPr>
        <w:tblStyle w:val="3"/>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371</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13</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384</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7</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3</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7</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-7</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123</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-49</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14</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jc w:val="center"/>
              <w:rPr>
                <w:rFonts w:hint="default" w:ascii="宋体" w:eastAsiaTheme="minorEastAsia"/>
                <w:sz w:val="24"/>
                <w:lang w:val="en-US" w:eastAsia="zh-CN"/>
              </w:rPr>
            </w:pPr>
            <w:r>
              <w:rPr>
                <w:rFonts w:hint="eastAsia" w:ascii="宋体"/>
                <w:sz w:val="24"/>
                <w:lang w:val="en-US" w:eastAsia="zh-CN"/>
              </w:rPr>
              <w:t>15.5</w:t>
            </w:r>
          </w:p>
        </w:tc>
      </w:tr>
    </w:tbl>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p>
    <w:p>
      <w:pPr>
        <w:pStyle w:val="2"/>
        <w:keepNext w:val="0"/>
        <w:keepLines w:val="0"/>
        <w:widowControl/>
        <w:numPr>
          <w:ilvl w:val="0"/>
          <w:numId w:val="3"/>
        </w:numPr>
        <w:suppressLineNumbers w:val="0"/>
        <w:shd w:val="clear" w:fill="FFFFFF"/>
        <w:spacing w:before="30" w:beforeAutospacing="0" w:after="30" w:afterAutospacing="0"/>
        <w:ind w:left="0" w:leftChars="0" w:right="0" w:firstLine="0" w:firstLineChars="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依申请公开政府信息情况</w:t>
      </w:r>
    </w:p>
    <w:tbl>
      <w:tblPr>
        <w:tblStyle w:val="3"/>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14</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ascii="仿宋_GB2312" w:hAnsi="仿宋_GB2312" w:eastAsia="仿宋_GB2312" w:cs="仿宋_GB2312"/>
                <w:sz w:val="24"/>
                <w:lang w:val="en-US" w:eastAsia="zh-CN"/>
              </w:rPr>
              <w:t>1</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14</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ascii="仿宋_GB2312" w:hAnsi="仿宋_GB2312" w:eastAsia="仿宋_GB2312" w:cs="仿宋_GB2312"/>
                <w:sz w:val="24"/>
                <w:lang w:val="en-US" w:eastAsia="zh-CN"/>
              </w:rPr>
              <w:t>1</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ascii="宋体"/>
                <w:sz w:val="24"/>
              </w:rPr>
            </w:pPr>
            <w:r>
              <w:rPr>
                <w:rFonts w:hint="eastAsia" w:ascii="仿宋_GB2312" w:hAnsi="仿宋_GB2312" w:eastAsia="仿宋_GB2312" w:cs="仿宋_GB2312"/>
                <w:sz w:val="24"/>
                <w:lang w:val="en-US" w:eastAsia="zh-CN"/>
              </w:rPr>
              <w:t>0</w:t>
            </w:r>
          </w:p>
        </w:tc>
      </w:tr>
    </w:tbl>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四</w:t>
      </w:r>
      <w:r>
        <w:rPr>
          <w:rFonts w:hint="eastAsia" w:ascii="仿宋" w:hAnsi="仿宋" w:eastAsia="仿宋" w:cs="仿宋"/>
          <w:b w:val="0"/>
          <w:i w:val="0"/>
          <w:caps w:val="0"/>
          <w:color w:val="3D3D3D"/>
          <w:spacing w:val="0"/>
          <w:kern w:val="0"/>
          <w:sz w:val="31"/>
          <w:szCs w:val="31"/>
          <w:shd w:val="clear" w:fill="FFFFFF"/>
        </w:rPr>
        <w:t>、因政务公开申请行政复议、提起行政诉讼情况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bookmarkStart w:id="0" w:name="_GoBack"/>
            <w:r>
              <w:rPr>
                <w:rFonts w:hint="eastAsia" w:ascii="仿宋_GB2312" w:hAnsi="仿宋_GB2312" w:eastAsia="仿宋_GB2312" w:cs="仿宋_GB2312"/>
                <w:sz w:val="24"/>
                <w:lang w:val="en-US" w:eastAsia="zh-CN"/>
              </w:rPr>
              <w:t>0</w:t>
            </w:r>
            <w:bookmarkEnd w:id="0"/>
          </w:p>
        </w:tc>
      </w:tr>
    </w:tbl>
    <w:p>
      <w:pPr>
        <w:pStyle w:val="2"/>
        <w:keepNext w:val="0"/>
        <w:keepLines w:val="0"/>
        <w:widowControl/>
        <w:suppressLineNumbers w:val="0"/>
        <w:shd w:val="clear" w:fill="FFFFFF"/>
        <w:spacing w:before="30" w:beforeAutospacing="0" w:after="30" w:afterAutospacing="0"/>
        <w:ind w:left="0" w:right="0" w:firstLine="0"/>
      </w:pPr>
      <w:r>
        <w:rPr>
          <w:rFonts w:hint="eastAsia" w:ascii="仿宋" w:hAnsi="仿宋" w:eastAsia="仿宋" w:cs="仿宋"/>
          <w:b w:val="0"/>
          <w:i w:val="0"/>
          <w:caps w:val="0"/>
          <w:color w:val="3D3D3D"/>
          <w:spacing w:val="0"/>
          <w:kern w:val="0"/>
          <w:sz w:val="31"/>
          <w:szCs w:val="31"/>
          <w:shd w:val="clear" w:fill="FFFFFF"/>
          <w:lang w:eastAsia="zh-CN"/>
        </w:rPr>
        <w:t>五</w:t>
      </w:r>
      <w:r>
        <w:rPr>
          <w:rFonts w:hint="eastAsia" w:ascii="仿宋" w:hAnsi="仿宋" w:eastAsia="仿宋" w:cs="仿宋"/>
          <w:b w:val="0"/>
          <w:i w:val="0"/>
          <w:caps w:val="0"/>
          <w:color w:val="3D3D3D"/>
          <w:spacing w:val="0"/>
          <w:kern w:val="0"/>
          <w:sz w:val="31"/>
          <w:szCs w:val="31"/>
          <w:shd w:val="clear" w:fill="FFFFFF"/>
        </w:rPr>
        <w:t>、政务公开工作存在的主要问题及改进情况</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 xml:space="preserve">  201</w:t>
      </w:r>
      <w:r>
        <w:rPr>
          <w:rFonts w:hint="eastAsia" w:ascii="仿宋" w:hAnsi="仿宋" w:eastAsia="仿宋" w:cs="仿宋"/>
          <w:b w:val="0"/>
          <w:i w:val="0"/>
          <w:caps w:val="0"/>
          <w:color w:val="3D3D3D"/>
          <w:spacing w:val="0"/>
          <w:kern w:val="0"/>
          <w:sz w:val="31"/>
          <w:szCs w:val="31"/>
          <w:shd w:val="clear" w:fill="FFFFFF"/>
          <w:lang w:val="en-US" w:eastAsia="zh-CN"/>
        </w:rPr>
        <w:t>9</w:t>
      </w:r>
      <w:r>
        <w:rPr>
          <w:rFonts w:hint="eastAsia" w:ascii="仿宋" w:hAnsi="仿宋" w:eastAsia="仿宋" w:cs="仿宋"/>
          <w:b w:val="0"/>
          <w:i w:val="0"/>
          <w:caps w:val="0"/>
          <w:color w:val="3D3D3D"/>
          <w:spacing w:val="0"/>
          <w:kern w:val="0"/>
          <w:sz w:val="31"/>
          <w:szCs w:val="31"/>
          <w:shd w:val="clear" w:fill="FFFFFF"/>
        </w:rPr>
        <w:t>年在政务公开工作主要问题有：</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一、制度体系建设和政策解读回应有待进一步加强；</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二、微博、微信信息量发布较少，有待进一步增加；</w:t>
      </w:r>
      <w:r>
        <w:rPr>
          <w:rFonts w:hint="eastAsia" w:ascii="仿宋" w:hAnsi="仿宋" w:eastAsia="仿宋" w:cs="仿宋"/>
          <w:b w:val="0"/>
          <w:i w:val="0"/>
          <w:caps w:val="0"/>
          <w:color w:val="3D3D3D"/>
          <w:spacing w:val="0"/>
          <w:kern w:val="0"/>
          <w:sz w:val="31"/>
          <w:szCs w:val="31"/>
          <w:shd w:val="clear" w:fill="FFFFFF"/>
        </w:rPr>
        <w:t xml:space="preserve"> </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三、公开指南和目录尚有欠缺，有待进一步完善</w:t>
      </w:r>
      <w:r>
        <w:rPr>
          <w:rFonts w:hint="eastAsia" w:ascii="仿宋" w:hAnsi="仿宋" w:eastAsia="仿宋" w:cs="仿宋"/>
          <w:b w:val="0"/>
          <w:i w:val="0"/>
          <w:caps w:val="0"/>
          <w:color w:val="3D3D3D"/>
          <w:spacing w:val="0"/>
          <w:kern w:val="0"/>
          <w:sz w:val="31"/>
          <w:szCs w:val="31"/>
          <w:shd w:val="clear" w:fill="FFFFFF"/>
        </w:rPr>
        <w:t xml:space="preserve"> </w:t>
      </w:r>
      <w:r>
        <w:rPr>
          <w:rFonts w:hint="eastAsia" w:ascii="仿宋" w:hAnsi="仿宋" w:eastAsia="仿宋" w:cs="仿宋"/>
          <w:b w:val="0"/>
          <w:i w:val="0"/>
          <w:caps w:val="0"/>
          <w:color w:val="3D3D3D"/>
          <w:spacing w:val="0"/>
          <w:kern w:val="0"/>
          <w:sz w:val="31"/>
          <w:szCs w:val="31"/>
          <w:shd w:val="clear" w:fill="FFFFFF"/>
          <w:lang w:eastAsia="zh-CN"/>
        </w:rPr>
        <w:t>。</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针对上述问题，下一步我局将主要做好以下几方面工作：</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一、提高制度体系建设和政策解读的效率。</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二、增加微信、微博的发布量与质量。</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三、完善信息公开目录。</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六</w:t>
      </w:r>
      <w:r>
        <w:rPr>
          <w:rFonts w:ascii="仿宋" w:hAnsi="仿宋" w:eastAsia="仿宋" w:cs="仿宋"/>
          <w:b w:val="0"/>
          <w:i w:val="0"/>
          <w:caps w:val="0"/>
          <w:color w:val="3D3D3D"/>
          <w:spacing w:val="0"/>
          <w:kern w:val="0"/>
          <w:sz w:val="31"/>
          <w:szCs w:val="31"/>
          <w:shd w:val="clear" w:fill="FFFFFF"/>
          <w:lang w:val="en-US" w:eastAsia="zh-CN" w:bidi="ar"/>
        </w:rPr>
        <w:t>、其他需要报告的事项</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DF95"/>
    <w:multiLevelType w:val="singleLevel"/>
    <w:tmpl w:val="1C09DF95"/>
    <w:lvl w:ilvl="0" w:tentative="0">
      <w:start w:val="2"/>
      <w:numFmt w:val="chineseCounting"/>
      <w:suff w:val="nothing"/>
      <w:lvlText w:val="%1、"/>
      <w:lvlJc w:val="left"/>
      <w:rPr>
        <w:rFonts w:hint="eastAsia"/>
      </w:rPr>
    </w:lvl>
  </w:abstractNum>
  <w:abstractNum w:abstractNumId="1">
    <w:nsid w:val="6523A5C4"/>
    <w:multiLevelType w:val="singleLevel"/>
    <w:tmpl w:val="6523A5C4"/>
    <w:lvl w:ilvl="0" w:tentative="0">
      <w:start w:val="1"/>
      <w:numFmt w:val="decimal"/>
      <w:suff w:val="nothing"/>
      <w:lvlText w:val="%1、"/>
      <w:lvlJc w:val="left"/>
      <w:pPr>
        <w:ind w:left="830" w:leftChars="0" w:firstLine="0" w:firstLineChars="0"/>
      </w:pPr>
    </w:lvl>
  </w:abstractNum>
  <w:abstractNum w:abstractNumId="2">
    <w:nsid w:val="69068723"/>
    <w:multiLevelType w:val="singleLevel"/>
    <w:tmpl w:val="69068723"/>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2AF2"/>
    <w:rsid w:val="02D91041"/>
    <w:rsid w:val="08506E92"/>
    <w:rsid w:val="092B7814"/>
    <w:rsid w:val="0C122592"/>
    <w:rsid w:val="0EF9315A"/>
    <w:rsid w:val="13BA6645"/>
    <w:rsid w:val="151B39C7"/>
    <w:rsid w:val="17452131"/>
    <w:rsid w:val="1D6E0901"/>
    <w:rsid w:val="1DA9155E"/>
    <w:rsid w:val="1F6618FE"/>
    <w:rsid w:val="1FC93394"/>
    <w:rsid w:val="205D3AEE"/>
    <w:rsid w:val="22F21C90"/>
    <w:rsid w:val="236B231A"/>
    <w:rsid w:val="26C925D8"/>
    <w:rsid w:val="27CB0506"/>
    <w:rsid w:val="282B539D"/>
    <w:rsid w:val="28ED234D"/>
    <w:rsid w:val="292C0819"/>
    <w:rsid w:val="2A721B3C"/>
    <w:rsid w:val="2C5D3C5B"/>
    <w:rsid w:val="2E921C4F"/>
    <w:rsid w:val="2F7A1562"/>
    <w:rsid w:val="30192349"/>
    <w:rsid w:val="32DF723E"/>
    <w:rsid w:val="34772B4E"/>
    <w:rsid w:val="348969DE"/>
    <w:rsid w:val="352D2104"/>
    <w:rsid w:val="36251D56"/>
    <w:rsid w:val="395F720B"/>
    <w:rsid w:val="3A1A477D"/>
    <w:rsid w:val="3E22557A"/>
    <w:rsid w:val="3E826DF9"/>
    <w:rsid w:val="3F3D6F50"/>
    <w:rsid w:val="43962676"/>
    <w:rsid w:val="45374E36"/>
    <w:rsid w:val="483C0ADB"/>
    <w:rsid w:val="4999023E"/>
    <w:rsid w:val="49D77AC0"/>
    <w:rsid w:val="4A05073F"/>
    <w:rsid w:val="4C0A7C64"/>
    <w:rsid w:val="4F8F1EF2"/>
    <w:rsid w:val="51D44288"/>
    <w:rsid w:val="52143AAA"/>
    <w:rsid w:val="52E16144"/>
    <w:rsid w:val="54E71FAA"/>
    <w:rsid w:val="55A80A7B"/>
    <w:rsid w:val="58595CD0"/>
    <w:rsid w:val="5A477738"/>
    <w:rsid w:val="5E774BAD"/>
    <w:rsid w:val="5E8562D4"/>
    <w:rsid w:val="5F342046"/>
    <w:rsid w:val="682C337F"/>
    <w:rsid w:val="68C845AC"/>
    <w:rsid w:val="6AB056F8"/>
    <w:rsid w:val="6B822AB4"/>
    <w:rsid w:val="6D7D5BF6"/>
    <w:rsid w:val="70F43A22"/>
    <w:rsid w:val="76782685"/>
    <w:rsid w:val="768006FC"/>
    <w:rsid w:val="7D92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2022-01-27T08:30:27Z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