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44" w:rsidRPr="00CD38D3" w:rsidRDefault="00641393" w:rsidP="00710149">
      <w:pPr>
        <w:ind w:firstLineChars="100" w:firstLine="360"/>
        <w:rPr>
          <w:rFonts w:ascii="方正小标宋简体" w:eastAsia="方正小标宋简体"/>
          <w:sz w:val="36"/>
          <w:szCs w:val="36"/>
        </w:rPr>
      </w:pPr>
      <w:r w:rsidRPr="00CD38D3">
        <w:rPr>
          <w:rFonts w:ascii="方正小标宋简体" w:eastAsia="方正小标宋简体" w:hint="eastAsia"/>
          <w:sz w:val="36"/>
          <w:szCs w:val="36"/>
        </w:rPr>
        <w:t>宁海县气象局</w:t>
      </w:r>
      <w:r w:rsidR="00C6441B">
        <w:rPr>
          <w:rFonts w:ascii="方正小标宋简体" w:eastAsia="方正小标宋简体" w:hint="eastAsia"/>
          <w:sz w:val="36"/>
          <w:szCs w:val="36"/>
        </w:rPr>
        <w:t>2020</w:t>
      </w:r>
      <w:r w:rsidRPr="00CD38D3">
        <w:rPr>
          <w:rFonts w:ascii="方正小标宋简体" w:eastAsia="方正小标宋简体" w:hint="eastAsia"/>
          <w:sz w:val="36"/>
          <w:szCs w:val="36"/>
        </w:rPr>
        <w:t>年政府信息公开工作年度报告</w:t>
      </w:r>
    </w:p>
    <w:p w:rsidR="009762CF" w:rsidRDefault="009762CF" w:rsidP="00AB732E">
      <w:pPr>
        <w:spacing w:beforeLines="50" w:before="156" w:afterLines="50" w:after="156"/>
        <w:ind w:firstLineChars="200" w:firstLine="640"/>
        <w:rPr>
          <w:rFonts w:ascii="仿宋_GB2312" w:eastAsia="仿宋_GB2312" w:hAnsiTheme="minorEastAsia"/>
          <w:sz w:val="32"/>
          <w:szCs w:val="32"/>
        </w:rPr>
      </w:pPr>
      <w:r w:rsidRPr="00A25C4B">
        <w:rPr>
          <w:rFonts w:ascii="仿宋_GB2312" w:eastAsia="仿宋_GB2312" w:hAnsiTheme="minorEastAsia" w:hint="eastAsia"/>
          <w:sz w:val="32"/>
          <w:szCs w:val="32"/>
        </w:rPr>
        <w:t>本年报根据《中华人民共和国政府信息公开条例》以及</w:t>
      </w:r>
      <w:r w:rsidRPr="00A25C4B">
        <w:rPr>
          <w:rFonts w:ascii="仿宋_GB2312" w:eastAsia="仿宋_GB2312" w:hAnsiTheme="minorEastAsia" w:cs="仿宋_GB2312" w:hint="eastAsia"/>
          <w:color w:val="3D3D3D"/>
          <w:sz w:val="32"/>
          <w:szCs w:val="32"/>
          <w:shd w:val="clear" w:color="auto" w:fill="FFFFFF"/>
        </w:rPr>
        <w:t>《宁海县人民政府办公室关于印发2020年宁海县政务公开工作要点的通知》（宁政办发〔2020〕14号）的要求，</w:t>
      </w:r>
      <w:r w:rsidRPr="00A25C4B">
        <w:rPr>
          <w:rFonts w:ascii="仿宋_GB2312" w:eastAsia="仿宋_GB2312" w:hAnsiTheme="minorEastAsia" w:hint="eastAsia"/>
          <w:sz w:val="32"/>
          <w:szCs w:val="32"/>
        </w:rPr>
        <w:t>按照2020年宁海县气象局政府信息公开工作实际编制而成。年度报告主要由总体情况、主动公开政府信息情况、收到和处理政府信息公开申请情况、政府信息公开行政复议行政诉讼的情况、存在的主要问题及改进情况、其他需要报告的事项等六个部分组成，并附相关统计数据。本年报中所列数据统计时限为2020年1月1日至2020年12月31日。</w:t>
      </w:r>
    </w:p>
    <w:p w:rsidR="00AB732E" w:rsidRPr="00AB732E" w:rsidRDefault="00AB732E" w:rsidP="00AB732E">
      <w:pPr>
        <w:spacing w:beforeLines="50" w:before="156" w:afterLines="50" w:after="156"/>
        <w:ind w:firstLineChars="200" w:firstLine="640"/>
        <w:rPr>
          <w:rFonts w:ascii="黑体" w:eastAsia="黑体" w:hAnsiTheme="minorEastAsia"/>
          <w:sz w:val="32"/>
          <w:szCs w:val="32"/>
        </w:rPr>
      </w:pPr>
      <w:r w:rsidRPr="00AB732E">
        <w:rPr>
          <w:rFonts w:ascii="黑体" w:eastAsia="黑体" w:hAnsiTheme="minorEastAsia" w:hint="eastAsia"/>
          <w:sz w:val="32"/>
          <w:szCs w:val="32"/>
        </w:rPr>
        <w:t>一、总体情况</w:t>
      </w:r>
    </w:p>
    <w:p w:rsidR="00AC08E1" w:rsidRDefault="00AC08E1" w:rsidP="00AB732E">
      <w:pPr>
        <w:spacing w:beforeLines="50" w:before="156" w:afterLines="50" w:after="156"/>
        <w:ind w:firstLineChars="200" w:firstLine="640"/>
        <w:rPr>
          <w:rFonts w:ascii="仿宋_GB2312" w:eastAsia="仿宋_GB2312" w:hAnsiTheme="minorEastAsia"/>
          <w:sz w:val="32"/>
          <w:szCs w:val="32"/>
        </w:rPr>
      </w:pPr>
      <w:r w:rsidRPr="00A25C4B">
        <w:rPr>
          <w:rFonts w:ascii="仿宋_GB2312" w:eastAsia="仿宋_GB2312" w:hAnsiTheme="minorEastAsia" w:hint="eastAsia"/>
          <w:sz w:val="32"/>
          <w:szCs w:val="32"/>
        </w:rPr>
        <w:t>2020年，宁海县气象局认真学习《中华人民共和国政府信息公开条例》，深入贯彻落实县政府和宁波市气象局关于政务公开工作各项的决策部署。持续深化监督保障机制， 完善内部工作流程，严格执行政务公开保密审查制度；及时更新本单位机构概况、公开指南等内容；及时发布气象预报预警服务信息、重要天气提醒、一周预报及日常政务信息。</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（一）主动公开</w:t>
      </w:r>
    </w:p>
    <w:p w:rsidR="00CA0D47" w:rsidRDefault="00CA0D47" w:rsidP="00CA0D47">
      <w:pPr>
        <w:pStyle w:val="a3"/>
        <w:shd w:val="clear" w:color="auto" w:fill="FFFFFF"/>
        <w:spacing w:beforeAutospacing="0" w:afterAutospacing="0" w:line="525" w:lineRule="atLeast"/>
        <w:ind w:firstLine="600"/>
        <w:jc w:val="both"/>
        <w:rPr>
          <w:rFonts w:ascii="仿宋_GB2312" w:eastAsia="仿宋_GB2312" w:hAnsi="微软雅黑" w:cs="仿宋_GB2312"/>
          <w:color w:val="333333"/>
          <w:sz w:val="32"/>
          <w:szCs w:val="32"/>
          <w:shd w:val="clear" w:color="auto" w:fill="FFFFFF"/>
        </w:rPr>
      </w:pPr>
      <w:r w:rsidRPr="00CA0D47">
        <w:rPr>
          <w:rFonts w:ascii="仿宋_GB2312" w:eastAsia="仿宋_GB2312" w:hAnsi="微软雅黑" w:cs="仿宋_GB2312" w:hint="eastAsia"/>
          <w:color w:val="333333"/>
          <w:sz w:val="32"/>
          <w:szCs w:val="32"/>
          <w:shd w:val="clear" w:color="auto" w:fill="FFFFFF"/>
        </w:rPr>
        <w:t>2020年，</w:t>
      </w:r>
      <w:r>
        <w:rPr>
          <w:rFonts w:ascii="仿宋_GB2312" w:eastAsia="仿宋_GB2312" w:hAnsi="微软雅黑" w:cs="仿宋_GB2312" w:hint="eastAsia"/>
          <w:color w:val="333333"/>
          <w:sz w:val="32"/>
          <w:szCs w:val="32"/>
          <w:shd w:val="clear" w:color="auto" w:fill="FFFFFF"/>
        </w:rPr>
        <w:t>宁海县</w:t>
      </w:r>
      <w:r w:rsidRPr="00CA0D47">
        <w:rPr>
          <w:rFonts w:ascii="仿宋_GB2312" w:eastAsia="仿宋_GB2312" w:hAnsi="微软雅黑" w:cs="仿宋_GB2312" w:hint="eastAsia"/>
          <w:color w:val="333333"/>
          <w:sz w:val="32"/>
          <w:szCs w:val="32"/>
          <w:shd w:val="clear" w:color="auto" w:fill="FFFFFF"/>
        </w:rPr>
        <w:t>气象局通过政府门户网站公开政府信息</w:t>
      </w:r>
      <w:r>
        <w:rPr>
          <w:rFonts w:ascii="仿宋_GB2312" w:eastAsia="仿宋_GB2312" w:hAnsi="微软雅黑" w:cs="仿宋_GB2312" w:hint="eastAsia"/>
          <w:color w:val="333333"/>
          <w:sz w:val="32"/>
          <w:szCs w:val="32"/>
          <w:shd w:val="clear" w:color="auto" w:fill="FFFFFF"/>
        </w:rPr>
        <w:t>105</w:t>
      </w:r>
      <w:r w:rsidRPr="00CA0D47">
        <w:rPr>
          <w:rFonts w:ascii="仿宋_GB2312" w:eastAsia="仿宋_GB2312" w:hAnsi="微软雅黑" w:cs="仿宋_GB2312" w:hint="eastAsia"/>
          <w:color w:val="333333"/>
          <w:sz w:val="32"/>
          <w:szCs w:val="32"/>
          <w:shd w:val="clear" w:color="auto" w:fill="FFFFFF"/>
        </w:rPr>
        <w:t>条，其中</w:t>
      </w:r>
      <w:r>
        <w:rPr>
          <w:rFonts w:ascii="仿宋_GB2312" w:eastAsia="仿宋_GB2312" w:hAnsi="微软雅黑" w:cs="仿宋_GB2312" w:hint="eastAsia"/>
          <w:color w:val="333333"/>
          <w:sz w:val="32"/>
          <w:szCs w:val="32"/>
          <w:shd w:val="clear" w:color="auto" w:fill="FFFFFF"/>
        </w:rPr>
        <w:t>政务工作13</w:t>
      </w:r>
      <w:r w:rsidRPr="00CA0D47">
        <w:rPr>
          <w:rFonts w:ascii="仿宋_GB2312" w:eastAsia="仿宋_GB2312" w:hAnsi="微软雅黑" w:cs="仿宋_GB2312" w:hint="eastAsia"/>
          <w:color w:val="333333"/>
          <w:sz w:val="32"/>
          <w:szCs w:val="32"/>
          <w:shd w:val="clear" w:color="auto" w:fill="FFFFFF"/>
        </w:rPr>
        <w:t>条，</w:t>
      </w:r>
      <w:r>
        <w:rPr>
          <w:rFonts w:ascii="仿宋_GB2312" w:eastAsia="仿宋_GB2312" w:hAnsi="微软雅黑" w:cs="仿宋_GB2312" w:hint="eastAsia"/>
          <w:color w:val="333333"/>
          <w:sz w:val="32"/>
          <w:szCs w:val="32"/>
          <w:shd w:val="clear" w:color="auto" w:fill="FFFFFF"/>
        </w:rPr>
        <w:t>其它工作信息92条</w:t>
      </w:r>
      <w:r w:rsidRPr="00CA0D47">
        <w:rPr>
          <w:rFonts w:ascii="仿宋_GB2312" w:eastAsia="仿宋_GB2312" w:hAnsi="微软雅黑" w:cs="仿宋_GB2312" w:hint="eastAsia"/>
          <w:color w:val="333333"/>
          <w:sz w:val="32"/>
          <w:szCs w:val="32"/>
          <w:shd w:val="clear" w:color="auto" w:fill="FFFFFF"/>
        </w:rPr>
        <w:t>；通过其</w:t>
      </w:r>
      <w:r w:rsidRPr="00CA0D47">
        <w:rPr>
          <w:rFonts w:ascii="仿宋_GB2312" w:eastAsia="仿宋_GB2312" w:hAnsi="微软雅黑" w:cs="仿宋_GB2312" w:hint="eastAsia"/>
          <w:color w:val="333333"/>
          <w:sz w:val="32"/>
          <w:szCs w:val="32"/>
          <w:shd w:val="clear" w:color="auto" w:fill="FFFFFF"/>
        </w:rPr>
        <w:lastRenderedPageBreak/>
        <w:t>它渠道公开气象服务信息</w:t>
      </w:r>
      <w:r>
        <w:rPr>
          <w:rFonts w:ascii="仿宋_GB2312" w:eastAsia="仿宋_GB2312" w:hAnsi="微软雅黑" w:cs="仿宋_GB2312" w:hint="eastAsia"/>
          <w:color w:val="333333"/>
          <w:sz w:val="32"/>
          <w:szCs w:val="32"/>
          <w:shd w:val="clear" w:color="auto" w:fill="FFFFFF"/>
        </w:rPr>
        <w:t>3048</w:t>
      </w:r>
      <w:r w:rsidRPr="00CA0D47">
        <w:rPr>
          <w:rFonts w:ascii="仿宋_GB2312" w:eastAsia="仿宋_GB2312" w:hAnsi="微软雅黑" w:cs="仿宋_GB2312" w:hint="eastAsia"/>
          <w:color w:val="333333"/>
          <w:sz w:val="32"/>
          <w:szCs w:val="32"/>
          <w:shd w:val="clear" w:color="auto" w:fill="FFFFFF"/>
        </w:rPr>
        <w:t>条，</w:t>
      </w:r>
      <w:proofErr w:type="gramStart"/>
      <w:r w:rsidRPr="00CA0D47">
        <w:rPr>
          <w:rFonts w:ascii="仿宋_GB2312" w:eastAsia="仿宋_GB2312" w:hAnsi="微软雅黑" w:cs="仿宋_GB2312" w:hint="eastAsia"/>
          <w:color w:val="333333"/>
          <w:sz w:val="32"/>
          <w:szCs w:val="32"/>
          <w:shd w:val="clear" w:color="auto" w:fill="FFFFFF"/>
        </w:rPr>
        <w:t>微信公众号</w:t>
      </w:r>
      <w:proofErr w:type="gramEnd"/>
      <w:r>
        <w:rPr>
          <w:rFonts w:ascii="仿宋_GB2312" w:eastAsia="仿宋_GB2312" w:hAnsi="微软雅黑" w:cs="仿宋_GB2312" w:hint="eastAsia"/>
          <w:color w:val="333333"/>
          <w:sz w:val="32"/>
          <w:szCs w:val="32"/>
          <w:shd w:val="clear" w:color="auto" w:fill="FFFFFF"/>
        </w:rPr>
        <w:t>365</w:t>
      </w:r>
      <w:r w:rsidRPr="00CA0D47">
        <w:rPr>
          <w:rFonts w:ascii="仿宋_GB2312" w:eastAsia="仿宋_GB2312" w:hAnsi="微软雅黑" w:cs="仿宋_GB2312" w:hint="eastAsia"/>
          <w:color w:val="333333"/>
          <w:sz w:val="32"/>
          <w:szCs w:val="32"/>
          <w:shd w:val="clear" w:color="auto" w:fill="FFFFFF"/>
        </w:rPr>
        <w:t>条，新</w:t>
      </w:r>
      <w:proofErr w:type="gramStart"/>
      <w:r w:rsidRPr="00CA0D47">
        <w:rPr>
          <w:rFonts w:ascii="仿宋_GB2312" w:eastAsia="仿宋_GB2312" w:hAnsi="微软雅黑" w:cs="仿宋_GB2312" w:hint="eastAsia"/>
          <w:color w:val="333333"/>
          <w:sz w:val="32"/>
          <w:szCs w:val="32"/>
          <w:shd w:val="clear" w:color="auto" w:fill="FFFFFF"/>
        </w:rPr>
        <w:t>浪微博</w:t>
      </w:r>
      <w:proofErr w:type="gramEnd"/>
      <w:r>
        <w:rPr>
          <w:rFonts w:ascii="仿宋_GB2312" w:eastAsia="仿宋_GB2312" w:hAnsi="微软雅黑" w:cs="仿宋_GB2312" w:hint="eastAsia"/>
          <w:color w:val="333333"/>
          <w:sz w:val="32"/>
          <w:szCs w:val="32"/>
          <w:shd w:val="clear" w:color="auto" w:fill="FFFFFF"/>
        </w:rPr>
        <w:t>2683</w:t>
      </w:r>
      <w:r w:rsidRPr="00CA0D47">
        <w:rPr>
          <w:rFonts w:ascii="仿宋_GB2312" w:eastAsia="仿宋_GB2312" w:hAnsi="微软雅黑" w:cs="仿宋_GB2312" w:hint="eastAsia"/>
          <w:color w:val="333333"/>
          <w:sz w:val="32"/>
          <w:szCs w:val="32"/>
          <w:shd w:val="clear" w:color="auto" w:fill="FFFFFF"/>
        </w:rPr>
        <w:t>条。</w:t>
      </w:r>
    </w:p>
    <w:p w:rsidR="00CA0D47" w:rsidRDefault="00CA0D47" w:rsidP="00CA0D47">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此外，我局还通过多种渠道和形式接受群众监督和咨询。如通过电话答复、</w:t>
      </w:r>
      <w:proofErr w:type="gramStart"/>
      <w:r>
        <w:rPr>
          <w:rFonts w:ascii="仿宋_GB2312" w:eastAsia="仿宋_GB2312" w:hAnsi="宋体" w:cs="宋体" w:hint="eastAsia"/>
          <w:kern w:val="0"/>
          <w:sz w:val="32"/>
          <w:szCs w:val="32"/>
        </w:rPr>
        <w:t>微信公众号</w:t>
      </w:r>
      <w:proofErr w:type="gramEnd"/>
      <w:r>
        <w:rPr>
          <w:rFonts w:ascii="仿宋_GB2312" w:eastAsia="仿宋_GB2312" w:hAnsi="宋体" w:cs="宋体" w:hint="eastAsia"/>
          <w:kern w:val="0"/>
          <w:sz w:val="32"/>
          <w:szCs w:val="32"/>
        </w:rPr>
        <w:t>“宁海气象”进行线上答复等多种方式为群众答疑解惑。</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（二）依申请公开</w:t>
      </w:r>
    </w:p>
    <w:p w:rsidR="00CA0D47" w:rsidRPr="00CA0D47" w:rsidRDefault="00CA0D47" w:rsidP="00CA0D47">
      <w:pPr>
        <w:pStyle w:val="a3"/>
        <w:shd w:val="clear" w:color="auto" w:fill="FFFFFF"/>
        <w:spacing w:beforeAutospacing="0" w:afterAutospacing="0" w:line="525" w:lineRule="atLeast"/>
        <w:ind w:firstLine="660"/>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2020年，本单位未收到依申请公开件，无政府信息公开行政复议、行政诉讼情况。</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（三）政府信息管理</w:t>
      </w:r>
    </w:p>
    <w:p w:rsidR="001F36E5" w:rsidRPr="00EC7ECE" w:rsidRDefault="001F36E5" w:rsidP="00EC7ECE">
      <w:pPr>
        <w:spacing w:beforeLines="50" w:before="156" w:afterLines="50" w:after="156"/>
        <w:ind w:firstLineChars="200" w:firstLine="640"/>
        <w:rPr>
          <w:rFonts w:ascii="仿宋_GB2312" w:eastAsia="仿宋_GB2312" w:hAnsiTheme="minorEastAsia"/>
          <w:sz w:val="32"/>
          <w:szCs w:val="32"/>
        </w:rPr>
      </w:pPr>
      <w:r w:rsidRPr="00EC7ECE">
        <w:rPr>
          <w:rFonts w:ascii="仿宋_GB2312" w:eastAsia="仿宋_GB2312" w:hAnsiTheme="minorEastAsia"/>
          <w:sz w:val="32"/>
          <w:szCs w:val="32"/>
        </w:rPr>
        <w:t>建立《</w:t>
      </w:r>
      <w:r w:rsidRPr="00EC7ECE">
        <w:rPr>
          <w:rFonts w:ascii="仿宋_GB2312" w:eastAsia="仿宋_GB2312" w:hAnsiTheme="minorEastAsia" w:hint="eastAsia"/>
          <w:sz w:val="32"/>
          <w:szCs w:val="32"/>
        </w:rPr>
        <w:t>宁海县</w:t>
      </w:r>
      <w:r w:rsidRPr="00EC7ECE">
        <w:rPr>
          <w:rFonts w:ascii="仿宋_GB2312" w:eastAsia="仿宋_GB2312" w:hAnsiTheme="minorEastAsia"/>
          <w:sz w:val="32"/>
          <w:szCs w:val="32"/>
        </w:rPr>
        <w:t>气象局信息发布审核制度》、《</w:t>
      </w:r>
      <w:r w:rsidRPr="00EC7ECE">
        <w:rPr>
          <w:rFonts w:ascii="仿宋_GB2312" w:eastAsia="仿宋_GB2312" w:hAnsiTheme="minorEastAsia" w:hint="eastAsia"/>
          <w:sz w:val="32"/>
          <w:szCs w:val="32"/>
        </w:rPr>
        <w:t>宁海县</w:t>
      </w:r>
      <w:r w:rsidRPr="00EC7ECE">
        <w:rPr>
          <w:rFonts w:ascii="仿宋_GB2312" w:eastAsia="仿宋_GB2312" w:hAnsiTheme="minorEastAsia"/>
          <w:sz w:val="32"/>
          <w:szCs w:val="32"/>
        </w:rPr>
        <w:t>气象局信息公开保密审查制度》，规范了信息发布工作遵循的</w:t>
      </w:r>
      <w:r w:rsidRPr="00EC7ECE">
        <w:rPr>
          <w:rFonts w:ascii="仿宋_GB2312" w:eastAsia="仿宋_GB2312" w:hAnsiTheme="minorEastAsia"/>
          <w:sz w:val="32"/>
          <w:szCs w:val="32"/>
        </w:rPr>
        <w:t>“</w:t>
      </w:r>
      <w:r w:rsidRPr="00EC7ECE">
        <w:rPr>
          <w:rFonts w:ascii="仿宋_GB2312" w:eastAsia="仿宋_GB2312" w:hAnsiTheme="minorEastAsia"/>
          <w:sz w:val="32"/>
          <w:szCs w:val="32"/>
        </w:rPr>
        <w:t>谁审查、谁负责，谁发布、谁负责，先审查、后发布</w:t>
      </w:r>
      <w:r w:rsidRPr="00EC7ECE">
        <w:rPr>
          <w:rFonts w:ascii="仿宋_GB2312" w:eastAsia="仿宋_GB2312" w:hAnsiTheme="minorEastAsia"/>
          <w:sz w:val="32"/>
          <w:szCs w:val="32"/>
        </w:rPr>
        <w:t>”</w:t>
      </w:r>
      <w:r w:rsidRPr="00EC7ECE">
        <w:rPr>
          <w:rFonts w:ascii="仿宋_GB2312" w:eastAsia="仿宋_GB2312" w:hAnsiTheme="minorEastAsia"/>
          <w:sz w:val="32"/>
          <w:szCs w:val="32"/>
        </w:rPr>
        <w:t>和</w:t>
      </w:r>
      <w:r w:rsidRPr="00EC7ECE">
        <w:rPr>
          <w:rFonts w:ascii="仿宋_GB2312" w:eastAsia="仿宋_GB2312" w:hAnsiTheme="minorEastAsia"/>
          <w:sz w:val="32"/>
          <w:szCs w:val="32"/>
        </w:rPr>
        <w:t>“</w:t>
      </w:r>
      <w:r w:rsidRPr="00EC7ECE">
        <w:rPr>
          <w:rFonts w:ascii="仿宋_GB2312" w:eastAsia="仿宋_GB2312" w:hAnsiTheme="minorEastAsia"/>
          <w:sz w:val="32"/>
          <w:szCs w:val="32"/>
        </w:rPr>
        <w:t>涉密信息</w:t>
      </w:r>
      <w:proofErr w:type="gramStart"/>
      <w:r w:rsidRPr="00EC7ECE">
        <w:rPr>
          <w:rFonts w:ascii="仿宋_GB2312" w:eastAsia="仿宋_GB2312" w:hAnsiTheme="minorEastAsia"/>
          <w:sz w:val="32"/>
          <w:szCs w:val="32"/>
        </w:rPr>
        <w:t>不</w:t>
      </w:r>
      <w:proofErr w:type="gramEnd"/>
      <w:r w:rsidRPr="00EC7ECE">
        <w:rPr>
          <w:rFonts w:ascii="仿宋_GB2312" w:eastAsia="仿宋_GB2312" w:hAnsiTheme="minorEastAsia"/>
          <w:sz w:val="32"/>
          <w:szCs w:val="32"/>
        </w:rPr>
        <w:t>上网，上网信息不涉密</w:t>
      </w:r>
      <w:r w:rsidRPr="00EC7ECE">
        <w:rPr>
          <w:rFonts w:ascii="仿宋_GB2312" w:eastAsia="仿宋_GB2312" w:hAnsiTheme="minorEastAsia"/>
          <w:sz w:val="32"/>
          <w:szCs w:val="32"/>
        </w:rPr>
        <w:t>”</w:t>
      </w:r>
      <w:r w:rsidRPr="00EC7ECE">
        <w:rPr>
          <w:rFonts w:ascii="仿宋_GB2312" w:eastAsia="仿宋_GB2312" w:hAnsiTheme="minorEastAsia"/>
          <w:sz w:val="32"/>
          <w:szCs w:val="32"/>
        </w:rPr>
        <w:t>的原则，明确公开程序、审核、职责等制度流程，确保本单位政府信息公开的准确性、权威性、完整性和时效性。</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（四）平台建设</w:t>
      </w:r>
    </w:p>
    <w:p w:rsidR="00CA0D47" w:rsidRPr="00CA0D47" w:rsidRDefault="00CA0D47" w:rsidP="00CA0D47">
      <w:pPr>
        <w:pStyle w:val="a3"/>
        <w:shd w:val="clear" w:color="auto" w:fill="FFFFFF"/>
        <w:spacing w:beforeAutospacing="0" w:afterAutospacing="0" w:line="525" w:lineRule="atLeast"/>
        <w:ind w:firstLine="60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进一步拓展信息公开渠道，气象预警信息及时通过电视、广播、“</w:t>
      </w:r>
      <w:r w:rsidR="001F36E5">
        <w:rPr>
          <w:rFonts w:ascii="仿宋_GB2312" w:eastAsia="仿宋_GB2312" w:hAnsi="微软雅黑" w:cs="仿宋_GB2312" w:hint="eastAsia"/>
          <w:color w:val="333333"/>
          <w:sz w:val="32"/>
          <w:szCs w:val="32"/>
          <w:shd w:val="clear" w:color="auto" w:fill="FFFFFF"/>
        </w:rPr>
        <w:t>宁海气象</w:t>
      </w:r>
      <w:r w:rsidRPr="00CA0D47">
        <w:rPr>
          <w:rFonts w:ascii="仿宋_GB2312" w:eastAsia="仿宋_GB2312" w:hAnsi="微软雅黑" w:cs="仿宋_GB2312" w:hint="eastAsia"/>
          <w:color w:val="333333"/>
          <w:sz w:val="32"/>
          <w:szCs w:val="32"/>
          <w:shd w:val="clear" w:color="auto" w:fill="FFFFFF"/>
        </w:rPr>
        <w:t>”</w:t>
      </w:r>
      <w:proofErr w:type="gramStart"/>
      <w:r w:rsidRPr="00CA0D47">
        <w:rPr>
          <w:rFonts w:ascii="仿宋_GB2312" w:eastAsia="仿宋_GB2312" w:hAnsi="微软雅黑" w:cs="仿宋_GB2312" w:hint="eastAsia"/>
          <w:color w:val="333333"/>
          <w:sz w:val="32"/>
          <w:szCs w:val="32"/>
          <w:shd w:val="clear" w:color="auto" w:fill="FFFFFF"/>
        </w:rPr>
        <w:t>微信公众号</w:t>
      </w:r>
      <w:proofErr w:type="gramEnd"/>
      <w:r w:rsidRPr="00CA0D47">
        <w:rPr>
          <w:rFonts w:ascii="仿宋_GB2312" w:eastAsia="仿宋_GB2312" w:hAnsi="微软雅黑" w:cs="仿宋_GB2312" w:hint="eastAsia"/>
          <w:color w:val="333333"/>
          <w:sz w:val="32"/>
          <w:szCs w:val="32"/>
          <w:shd w:val="clear" w:color="auto" w:fill="FFFFFF"/>
        </w:rPr>
        <w:t>发布，重大气象灾害预警信息实现全网发布，有效扩大信息覆盖面，较好满足公众对气象信息的需求。主动回应社会关切，加强灾害性天气影响的</w:t>
      </w:r>
      <w:r w:rsidRPr="00CA0D47">
        <w:rPr>
          <w:rFonts w:ascii="仿宋_GB2312" w:eastAsia="仿宋_GB2312" w:hAnsi="微软雅黑" w:cs="仿宋_GB2312" w:hint="eastAsia"/>
          <w:color w:val="333333"/>
          <w:sz w:val="32"/>
          <w:szCs w:val="32"/>
          <w:shd w:val="clear" w:color="auto" w:fill="FFFFFF"/>
        </w:rPr>
        <w:lastRenderedPageBreak/>
        <w:t>科普宣传，做好春节、五一、中秋、国庆等重大节假日的天气趋势预测。</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（五）监督保障</w:t>
      </w:r>
    </w:p>
    <w:p w:rsidR="00CA0D47" w:rsidRPr="00CA0D47" w:rsidRDefault="00CA0D47" w:rsidP="00CA0D47">
      <w:pPr>
        <w:pStyle w:val="a3"/>
        <w:shd w:val="clear" w:color="auto" w:fill="FFFFFF"/>
        <w:spacing w:beforeAutospacing="0" w:afterAutospacing="0" w:line="525" w:lineRule="atLeast"/>
        <w:ind w:firstLine="645"/>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严格按照“一周一检查、一月一补缺、一季一测评”原则做好政务公开工作，结合第三方测评问题清单，认真开展自查评估和整改，确保常态化发布，提高政府信息公开工作规范化、标准化水平。</w:t>
      </w:r>
    </w:p>
    <w:p w:rsidR="00471484" w:rsidRDefault="00710149" w:rsidP="00AB732E">
      <w:pPr>
        <w:ind w:firstLineChars="200" w:firstLine="640"/>
        <w:rPr>
          <w:rFonts w:ascii="黑体" w:eastAsia="黑体" w:hAnsi="宋体" w:cs="宋体"/>
          <w:color w:val="333333"/>
          <w:kern w:val="0"/>
          <w:sz w:val="32"/>
          <w:szCs w:val="32"/>
        </w:rPr>
      </w:pPr>
      <w:r>
        <w:rPr>
          <w:rFonts w:ascii="仿宋_GB2312" w:eastAsia="仿宋_GB2312" w:hint="eastAsia"/>
          <w:sz w:val="32"/>
          <w:szCs w:val="32"/>
        </w:rPr>
        <w:t> </w:t>
      </w:r>
      <w:r w:rsidR="00471484" w:rsidRPr="00A25C4B">
        <w:rPr>
          <w:rFonts w:ascii="黑体" w:eastAsia="黑体" w:hAnsi="宋体" w:cs="宋体" w:hint="eastAsia"/>
          <w:color w:val="333333"/>
          <w:kern w:val="0"/>
          <w:sz w:val="32"/>
          <w:szCs w:val="32"/>
        </w:rPr>
        <w:t>二、主动公开政府信息情况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605"/>
        <w:gridCol w:w="2268"/>
        <w:gridCol w:w="1984"/>
      </w:tblGrid>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第二十条第（一）项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本年新制作数量</w:t>
            </w:r>
          </w:p>
        </w:tc>
        <w:tc>
          <w:tcPr>
            <w:tcW w:w="2268"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本年新公开数量</w:t>
            </w:r>
          </w:p>
        </w:tc>
        <w:tc>
          <w:tcPr>
            <w:tcW w:w="198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对外公开总数量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规章</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规范性文件</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第二十条第（五）项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上一年项目数量</w:t>
            </w:r>
          </w:p>
        </w:tc>
        <w:tc>
          <w:tcPr>
            <w:tcW w:w="2268"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本年增/减</w:t>
            </w:r>
          </w:p>
        </w:tc>
        <w:tc>
          <w:tcPr>
            <w:tcW w:w="198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处理决定数量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3</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sidRPr="00F33FC9">
              <w:rPr>
                <w:rFonts w:ascii="仿宋_GB2312" w:eastAsia="仿宋_GB2312" w:hAnsi="仿宋_GB2312" w:cs="仿宋_GB2312" w:hint="eastAsia"/>
                <w:sz w:val="24"/>
              </w:rPr>
              <w:t>23</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其他对外管理服务事项</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110</w:t>
            </w:r>
          </w:p>
        </w:tc>
      </w:tr>
      <w:tr w:rsidR="00B1640F" w:rsidTr="0072552F">
        <w:tc>
          <w:tcPr>
            <w:tcW w:w="8931" w:type="dxa"/>
            <w:gridSpan w:val="4"/>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第二十条第（六）项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上一年项目数量</w:t>
            </w:r>
          </w:p>
        </w:tc>
        <w:tc>
          <w:tcPr>
            <w:tcW w:w="2268"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本年增/减</w:t>
            </w:r>
          </w:p>
        </w:tc>
        <w:tc>
          <w:tcPr>
            <w:tcW w:w="1984"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处理决定数量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行政处罚</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行政强制</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c>
          <w:tcPr>
            <w:tcW w:w="8931" w:type="dxa"/>
            <w:gridSpan w:val="4"/>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第二十条第（八）项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上一年项目数量</w:t>
            </w:r>
          </w:p>
        </w:tc>
        <w:tc>
          <w:tcPr>
            <w:tcW w:w="4252" w:type="dxa"/>
            <w:gridSpan w:val="2"/>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本年增/减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行政事业性收费</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4252" w:type="dxa"/>
            <w:gridSpan w:val="2"/>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第二十条第（九）项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lastRenderedPageBreak/>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采购项目数量</w:t>
            </w:r>
          </w:p>
        </w:tc>
        <w:tc>
          <w:tcPr>
            <w:tcW w:w="4252" w:type="dxa"/>
            <w:gridSpan w:val="2"/>
            <w:vAlign w:val="center"/>
          </w:tcPr>
          <w:p w:rsidR="00B1640F" w:rsidRDefault="00B1640F" w:rsidP="0072552F">
            <w:pPr>
              <w:spacing w:line="400" w:lineRule="exact"/>
              <w:jc w:val="center"/>
              <w:rPr>
                <w:rFonts w:ascii="黑体" w:eastAsia="黑体" w:hAnsi="黑体" w:cs="黑体"/>
                <w:sz w:val="24"/>
              </w:rPr>
            </w:pPr>
            <w:proofErr w:type="gramStart"/>
            <w:r>
              <w:rPr>
                <w:rFonts w:ascii="黑体" w:eastAsia="黑体" w:hAnsi="黑体" w:cs="黑体" w:hint="eastAsia"/>
                <w:sz w:val="24"/>
              </w:rPr>
              <w:t>采购总</w:t>
            </w:r>
            <w:proofErr w:type="gramEnd"/>
            <w:r>
              <w:rPr>
                <w:rFonts w:ascii="黑体" w:eastAsia="黑体" w:hAnsi="黑体" w:cs="黑体" w:hint="eastAsia"/>
                <w:sz w:val="24"/>
              </w:rPr>
              <w:t>金额</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政府集中采购</w:t>
            </w:r>
          </w:p>
        </w:tc>
        <w:tc>
          <w:tcPr>
            <w:tcW w:w="2605" w:type="dxa"/>
            <w:vAlign w:val="center"/>
          </w:tcPr>
          <w:p w:rsidR="00B1640F" w:rsidRPr="00337817" w:rsidRDefault="00B1640F" w:rsidP="0072552F">
            <w:pPr>
              <w:widowControl/>
              <w:spacing w:after="180"/>
              <w:jc w:val="center"/>
              <w:rPr>
                <w:rFonts w:ascii="Calibri" w:eastAsia="宋体" w:hAnsi="Calibri" w:cs="Times New Roman"/>
                <w:szCs w:val="24"/>
              </w:rPr>
            </w:pPr>
            <w:r>
              <w:rPr>
                <w:rFonts w:ascii="宋体" w:eastAsia="宋体" w:hAnsi="宋体" w:cs="宋体" w:hint="eastAsia"/>
                <w:color w:val="000000"/>
                <w:kern w:val="0"/>
                <w:sz w:val="20"/>
                <w:szCs w:val="20"/>
                <w:lang w:bidi="ar"/>
              </w:rPr>
              <w:t>3</w:t>
            </w:r>
          </w:p>
        </w:tc>
        <w:tc>
          <w:tcPr>
            <w:tcW w:w="4252" w:type="dxa"/>
            <w:gridSpan w:val="2"/>
            <w:vAlign w:val="center"/>
          </w:tcPr>
          <w:p w:rsidR="00B1640F" w:rsidRPr="00337817" w:rsidRDefault="00B1640F" w:rsidP="0072552F">
            <w:pPr>
              <w:jc w:val="center"/>
              <w:rPr>
                <w:rFonts w:ascii="宋体" w:eastAsia="宋体" w:hAnsi="Calibri" w:cs="Times New Roman"/>
                <w:sz w:val="24"/>
                <w:szCs w:val="24"/>
              </w:rPr>
            </w:pPr>
            <w:r>
              <w:rPr>
                <w:rFonts w:ascii="宋体" w:eastAsia="宋体" w:hAnsi="Calibri" w:cs="Times New Roman" w:hint="eastAsia"/>
                <w:sz w:val="24"/>
                <w:szCs w:val="24"/>
              </w:rPr>
              <w:t>71.4万元</w:t>
            </w:r>
          </w:p>
        </w:tc>
      </w:tr>
    </w:tbl>
    <w:p w:rsidR="00471484" w:rsidRPr="00A25C4B" w:rsidRDefault="00471484" w:rsidP="00AB732E">
      <w:pPr>
        <w:widowControl/>
        <w:spacing w:after="240"/>
        <w:ind w:firstLine="420"/>
        <w:rPr>
          <w:rFonts w:ascii="黑体" w:eastAsia="黑体" w:hAnsi="宋体" w:cs="宋体"/>
          <w:kern w:val="0"/>
          <w:sz w:val="32"/>
          <w:szCs w:val="32"/>
        </w:rPr>
      </w:pPr>
      <w:r w:rsidRPr="00A25C4B">
        <w:rPr>
          <w:rFonts w:ascii="黑体" w:eastAsia="黑体" w:hAnsi="宋体" w:cs="宋体" w:hint="eastAsia"/>
          <w:color w:val="333333"/>
          <w:kern w:val="0"/>
          <w:sz w:val="32"/>
          <w:szCs w:val="32"/>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8"/>
        <w:gridCol w:w="854"/>
        <w:gridCol w:w="2086"/>
        <w:gridCol w:w="814"/>
        <w:gridCol w:w="755"/>
        <w:gridCol w:w="755"/>
        <w:gridCol w:w="814"/>
        <w:gridCol w:w="974"/>
        <w:gridCol w:w="712"/>
        <w:gridCol w:w="689"/>
      </w:tblGrid>
      <w:tr w:rsidR="00471484" w:rsidRPr="00C24D20" w:rsidTr="00D836C9">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（本列数据的勾</w:t>
            </w:r>
            <w:proofErr w:type="gramStart"/>
            <w:r w:rsidRPr="00C24D20">
              <w:rPr>
                <w:rFonts w:ascii="宋体" w:eastAsia="宋体" w:hAnsi="宋体" w:cs="宋体" w:hint="eastAsia"/>
                <w:kern w:val="0"/>
                <w:sz w:val="20"/>
                <w:szCs w:val="20"/>
                <w:lang w:bidi="ar"/>
              </w:rPr>
              <w:t>稽</w:t>
            </w:r>
            <w:proofErr w:type="gramEnd"/>
            <w:r w:rsidRPr="00C24D20">
              <w:rPr>
                <w:rFonts w:ascii="宋体" w:eastAsia="宋体" w:hAnsi="宋体" w:cs="宋体" w:hint="eastAsia"/>
                <w:kern w:val="0"/>
                <w:sz w:val="20"/>
                <w:szCs w:val="20"/>
                <w:lang w:bidi="ar"/>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申请人情况</w:t>
            </w:r>
          </w:p>
        </w:tc>
      </w:tr>
      <w:tr w:rsidR="00471484" w:rsidRPr="00C24D20" w:rsidTr="00D836C9">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1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自然人</w:t>
            </w:r>
          </w:p>
        </w:tc>
        <w:tc>
          <w:tcPr>
            <w:tcW w:w="401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法人或其他组织</w:t>
            </w:r>
          </w:p>
        </w:tc>
        <w:tc>
          <w:tcPr>
            <w:tcW w:w="6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总计</w:t>
            </w:r>
          </w:p>
        </w:tc>
      </w:tr>
      <w:tr w:rsidR="00471484" w:rsidRPr="00C24D20" w:rsidTr="00D836C9">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1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科研机构</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社会公益组织</w:t>
            </w:r>
          </w:p>
        </w:tc>
        <w:tc>
          <w:tcPr>
            <w:tcW w:w="974"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w:t>
            </w:r>
          </w:p>
        </w:tc>
        <w:tc>
          <w:tcPr>
            <w:tcW w:w="689"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r>
      <w:tr w:rsidR="00471484" w:rsidRPr="00C24D20" w:rsidTr="00D836C9">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一、本年新收政府信息公开申请数量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D836C9" w:rsidP="00AB732E">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00471484"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D836C9" w:rsidP="00AB732E">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00471484"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D836C9">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D836C9">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D836C9" w:rsidP="00AB732E">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00471484"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D836C9" w:rsidP="00AB732E">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00471484"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二、上年结转政府信息公开申请数量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（一）予以公开</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（二）部分公开（区分处理的，只计这一情形，不计其他情形）</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1.属于国家秘密</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2.其他法律行政法规禁止公开</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3.危及“三安全</w:t>
            </w:r>
            <w:proofErr w:type="gramStart"/>
            <w:r w:rsidRPr="00C24D20">
              <w:rPr>
                <w:rFonts w:ascii="楷体" w:eastAsia="楷体" w:hAnsi="楷体" w:cs="楷体" w:hint="eastAsia"/>
                <w:kern w:val="0"/>
                <w:sz w:val="20"/>
                <w:szCs w:val="20"/>
                <w:lang w:bidi="ar"/>
              </w:rPr>
              <w:t>一</w:t>
            </w:r>
            <w:proofErr w:type="gramEnd"/>
            <w:r w:rsidRPr="00C24D20">
              <w:rPr>
                <w:rFonts w:ascii="楷体" w:eastAsia="楷体" w:hAnsi="楷体" w:cs="楷体" w:hint="eastAsia"/>
                <w:kern w:val="0"/>
                <w:sz w:val="20"/>
                <w:szCs w:val="20"/>
                <w:lang w:bidi="ar"/>
              </w:rPr>
              <w:t>稳定”</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4.保护第三方合法权益</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5.属于三类内部事务</w:t>
            </w:r>
            <w:r w:rsidRPr="00C24D20">
              <w:rPr>
                <w:rFonts w:ascii="楷体" w:eastAsia="楷体" w:hAnsi="楷体" w:cs="楷体" w:hint="eastAsia"/>
                <w:kern w:val="0"/>
                <w:sz w:val="20"/>
                <w:szCs w:val="20"/>
                <w:lang w:bidi="ar"/>
              </w:rPr>
              <w:lastRenderedPageBreak/>
              <w:t>信息</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lastRenderedPageBreak/>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6.属于四类过程性信息</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7.属于行政执法案卷</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8.属于行政查询事项</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1.本机关不掌握相关政府信息</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2.没有现成信息需要另行制作</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3.补正后申请内容仍不明确</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（五）</w:t>
            </w:r>
            <w:proofErr w:type="gramStart"/>
            <w:r w:rsidRPr="00C24D20">
              <w:rPr>
                <w:rFonts w:ascii="楷体" w:eastAsia="楷体" w:hAnsi="楷体" w:cs="楷体" w:hint="eastAsia"/>
                <w:kern w:val="0"/>
                <w:sz w:val="20"/>
                <w:szCs w:val="20"/>
                <w:lang w:bidi="ar"/>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1.信访举报投诉类申请</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3.要求提供公开出版物</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4.无正当理由大量反复申请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5.要求行政机关确认或重新出具已获取信息</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（六）其他处理</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（七）总计</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D836C9" w:rsidRPr="00C24D20" w:rsidTr="00D836C9">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D836C9" w:rsidRPr="00C24D20" w:rsidRDefault="00D836C9"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四、结转下年度继续办理</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81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974"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Pr>
                <w:rFonts w:ascii="Calibri" w:eastAsia="宋体" w:hAnsi="Calibri" w:cs="Calibri" w:hint="eastAsia"/>
                <w:kern w:val="0"/>
                <w:sz w:val="20"/>
                <w:szCs w:val="20"/>
                <w:lang w:bidi="ar"/>
              </w:rPr>
              <w:t>0</w:t>
            </w: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D836C9" w:rsidRPr="00C24D20" w:rsidRDefault="00D836C9" w:rsidP="0073239C">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bl>
    <w:p w:rsidR="00471484" w:rsidRPr="00C24D20" w:rsidRDefault="00471484" w:rsidP="00AB732E">
      <w:pPr>
        <w:widowControl/>
        <w:ind w:firstLine="420"/>
        <w:rPr>
          <w:rFonts w:ascii="宋体" w:eastAsia="宋体" w:hAnsi="宋体" w:cs="宋体"/>
          <w:kern w:val="0"/>
          <w:sz w:val="24"/>
          <w:szCs w:val="24"/>
        </w:rPr>
      </w:pPr>
    </w:p>
    <w:p w:rsidR="00471484" w:rsidRPr="00A25C4B" w:rsidRDefault="00471484" w:rsidP="00AB732E">
      <w:pPr>
        <w:widowControl/>
        <w:ind w:firstLine="420"/>
        <w:rPr>
          <w:rFonts w:ascii="黑体" w:eastAsia="黑体" w:hAnsi="宋体" w:cs="宋体"/>
          <w:kern w:val="0"/>
          <w:sz w:val="32"/>
          <w:szCs w:val="32"/>
        </w:rPr>
      </w:pPr>
      <w:r w:rsidRPr="00A25C4B">
        <w:rPr>
          <w:rFonts w:ascii="黑体" w:eastAsia="黑体" w:hAnsi="宋体" w:cs="宋体" w:hint="eastAsia"/>
          <w:color w:val="333333"/>
          <w:kern w:val="0"/>
          <w:sz w:val="32"/>
          <w:szCs w:val="32"/>
        </w:rPr>
        <w:t>四、政府信息公开行政复议、行政诉讼情况</w:t>
      </w:r>
    </w:p>
    <w:p w:rsidR="00471484" w:rsidRPr="00C24D20" w:rsidRDefault="00471484" w:rsidP="00AB732E">
      <w:pPr>
        <w:widowControl/>
        <w:ind w:firstLine="420"/>
        <w:rPr>
          <w:rFonts w:ascii="宋体" w:eastAsia="宋体" w:hAnsi="宋体" w:cs="宋体"/>
          <w:kern w:val="0"/>
          <w:sz w:val="24"/>
          <w:szCs w:val="24"/>
        </w:rPr>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471484" w:rsidRPr="00C24D20" w:rsidTr="00D0137F">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行政诉讼</w:t>
            </w:r>
          </w:p>
        </w:tc>
      </w:tr>
      <w:tr w:rsidR="00471484" w:rsidRPr="00C24D20" w:rsidTr="00D0137F">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复议后起诉</w:t>
            </w:r>
          </w:p>
        </w:tc>
      </w:tr>
      <w:tr w:rsidR="00471484" w:rsidRPr="00C24D20" w:rsidTr="00D0137F">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总计</w:t>
            </w:r>
          </w:p>
        </w:tc>
      </w:tr>
      <w:tr w:rsidR="00471484" w:rsidRPr="00C24D20" w:rsidTr="00D0137F">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58"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550" w:type="dxa"/>
            <w:tcBorders>
              <w:top w:val="nil"/>
              <w:left w:val="nil"/>
              <w:bottom w:val="single" w:sz="8" w:space="0" w:color="auto"/>
              <w:right w:val="single" w:sz="8" w:space="0" w:color="auto"/>
            </w:tcBorders>
            <w:tcMar>
              <w:left w:w="108" w:type="dxa"/>
              <w:right w:w="108" w:type="dxa"/>
            </w:tcMar>
            <w:vAlign w:val="center"/>
          </w:tcPr>
          <w:p w:rsidR="00471484" w:rsidRPr="00C24D20" w:rsidRDefault="00451CF4" w:rsidP="00AB732E">
            <w:pPr>
              <w:widowControl/>
              <w:spacing w:after="180"/>
              <w:jc w:val="center"/>
              <w:rPr>
                <w:rFonts w:ascii="Calibri" w:eastAsia="宋体" w:hAnsi="Calibri" w:cs="Times New Roman"/>
                <w:szCs w:val="24"/>
              </w:rPr>
            </w:pPr>
            <w:r>
              <w:rPr>
                <w:rFonts w:ascii="宋体" w:eastAsia="宋体" w:hAnsi="宋体" w:cs="宋体" w:hint="eastAsia"/>
                <w:kern w:val="0"/>
                <w:sz w:val="20"/>
                <w:szCs w:val="20"/>
                <w:lang w:bidi="ar"/>
              </w:rPr>
              <w:t>0</w:t>
            </w:r>
            <w:r w:rsidR="00471484" w:rsidRPr="00C24D20">
              <w:rPr>
                <w:rFonts w:ascii="宋体" w:eastAsia="宋体" w:hAnsi="宋体" w:cs="宋体" w:hint="eastAsia"/>
                <w:kern w:val="0"/>
                <w:sz w:val="20"/>
                <w:szCs w:val="20"/>
                <w:lang w:bidi="ar"/>
              </w:rPr>
              <w:t> </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 </w:t>
            </w:r>
            <w:r w:rsidR="00451CF4">
              <w:rPr>
                <w:rFonts w:ascii="宋体" w:eastAsia="宋体" w:hAnsi="宋体" w:cs="宋体" w:hint="eastAsia"/>
                <w:color w:val="000000"/>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51CF4" w:rsidP="00AB732E">
            <w:pPr>
              <w:widowControl/>
              <w:spacing w:after="180"/>
              <w:jc w:val="center"/>
              <w:rPr>
                <w:rFonts w:ascii="Calibri" w:eastAsia="宋体" w:hAnsi="Calibri" w:cs="Times New Roman"/>
                <w:szCs w:val="24"/>
              </w:rPr>
            </w:pPr>
            <w:r>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 </w:t>
            </w:r>
            <w:r w:rsidR="00451CF4">
              <w:rPr>
                <w:rFonts w:ascii="宋体" w:eastAsia="宋体" w:hAnsi="宋体" w:cs="宋体" w:hint="eastAsia"/>
                <w:color w:val="000000"/>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r>
              <w:rPr>
                <w:rFonts w:ascii="宋体" w:eastAsia="宋体" w:hAnsi="Calibri" w:cs="Times New Roman" w:hint="eastAsia"/>
                <w:sz w:val="24"/>
                <w:szCs w:val="24"/>
              </w:rPr>
              <w:t>0</w:t>
            </w:r>
          </w:p>
        </w:tc>
      </w:tr>
    </w:tbl>
    <w:p w:rsidR="00A8295A" w:rsidRPr="00A25C4B" w:rsidRDefault="00BD6EB8" w:rsidP="00AB732E">
      <w:pPr>
        <w:pStyle w:val="a3"/>
        <w:ind w:firstLineChars="200" w:firstLine="640"/>
        <w:rPr>
          <w:rFonts w:ascii="黑体" w:eastAsia="黑体" w:hAnsiTheme="minorEastAsia"/>
          <w:sz w:val="32"/>
          <w:szCs w:val="32"/>
        </w:rPr>
      </w:pPr>
      <w:r w:rsidRPr="00A25C4B">
        <w:rPr>
          <w:rFonts w:ascii="黑体" w:eastAsia="黑体" w:hint="eastAsia"/>
          <w:sz w:val="32"/>
          <w:szCs w:val="32"/>
        </w:rPr>
        <w:t>五</w:t>
      </w:r>
      <w:r w:rsidR="00A8295A" w:rsidRPr="00A25C4B">
        <w:rPr>
          <w:rFonts w:ascii="黑体" w:eastAsia="黑体" w:hAnsiTheme="minorEastAsia" w:hint="eastAsia"/>
          <w:sz w:val="32"/>
          <w:szCs w:val="32"/>
        </w:rPr>
        <w:t>、政府信息公开工作存在的主要问题及改进</w:t>
      </w:r>
      <w:r w:rsidR="00710149">
        <w:rPr>
          <w:rFonts w:ascii="黑体" w:eastAsia="黑体" w:hAnsiTheme="minorEastAsia" w:hint="eastAsia"/>
          <w:sz w:val="32"/>
          <w:szCs w:val="32"/>
        </w:rPr>
        <w:t>情况</w:t>
      </w:r>
    </w:p>
    <w:p w:rsidR="00CE3E6D" w:rsidRPr="00A25C4B" w:rsidRDefault="00710149" w:rsidP="00AB732E">
      <w:pPr>
        <w:ind w:firstLineChars="200" w:firstLine="640"/>
        <w:rPr>
          <w:rFonts w:ascii="仿宋_GB2312" w:eastAsia="仿宋_GB2312" w:hAnsi="宋体" w:cs="宋体"/>
          <w:kern w:val="0"/>
          <w:sz w:val="32"/>
          <w:szCs w:val="32"/>
        </w:rPr>
      </w:pPr>
      <w:r w:rsidRPr="00740CC3">
        <w:rPr>
          <w:rFonts w:ascii="仿宋_GB2312" w:eastAsia="仿宋_GB2312" w:hint="eastAsia"/>
          <w:bCs/>
          <w:sz w:val="32"/>
          <w:szCs w:val="28"/>
        </w:rPr>
        <w:t>20</w:t>
      </w:r>
      <w:r w:rsidRPr="00740CC3">
        <w:rPr>
          <w:rFonts w:ascii="仿宋_GB2312" w:eastAsia="仿宋_GB2312"/>
          <w:bCs/>
          <w:sz w:val="32"/>
          <w:szCs w:val="28"/>
        </w:rPr>
        <w:t>20</w:t>
      </w:r>
      <w:r w:rsidRPr="00740CC3">
        <w:rPr>
          <w:rFonts w:ascii="仿宋_GB2312" w:eastAsia="仿宋_GB2312" w:hint="eastAsia"/>
          <w:bCs/>
          <w:sz w:val="32"/>
          <w:szCs w:val="28"/>
        </w:rPr>
        <w:t>年</w:t>
      </w:r>
      <w:r w:rsidRPr="00740CC3">
        <w:rPr>
          <w:rFonts w:ascii="仿宋_GB2312" w:eastAsia="仿宋_GB2312"/>
          <w:bCs/>
          <w:sz w:val="32"/>
          <w:szCs w:val="28"/>
        </w:rPr>
        <w:t>，</w:t>
      </w:r>
      <w:r>
        <w:rPr>
          <w:rFonts w:ascii="仿宋_GB2312" w:eastAsia="仿宋_GB2312" w:hint="eastAsia"/>
          <w:bCs/>
          <w:sz w:val="32"/>
          <w:szCs w:val="28"/>
        </w:rPr>
        <w:t>我局</w:t>
      </w:r>
      <w:r w:rsidRPr="00740CC3">
        <w:rPr>
          <w:rFonts w:ascii="仿宋_GB2312" w:eastAsia="仿宋_GB2312"/>
          <w:bCs/>
          <w:sz w:val="32"/>
          <w:szCs w:val="28"/>
        </w:rPr>
        <w:t>政务公开</w:t>
      </w:r>
      <w:r w:rsidRPr="00740CC3">
        <w:rPr>
          <w:rFonts w:ascii="仿宋_GB2312" w:eastAsia="仿宋_GB2312" w:hint="eastAsia"/>
          <w:bCs/>
          <w:sz w:val="32"/>
          <w:szCs w:val="28"/>
        </w:rPr>
        <w:t>工作</w:t>
      </w:r>
      <w:r>
        <w:rPr>
          <w:rFonts w:ascii="仿宋_GB2312" w:eastAsia="仿宋_GB2312" w:hint="eastAsia"/>
          <w:bCs/>
          <w:sz w:val="32"/>
          <w:szCs w:val="28"/>
        </w:rPr>
        <w:t>以气象</w:t>
      </w:r>
      <w:r w:rsidRPr="00740CC3">
        <w:rPr>
          <w:rFonts w:ascii="仿宋_GB2312" w:eastAsia="仿宋_GB2312"/>
          <w:bCs/>
          <w:sz w:val="32"/>
          <w:szCs w:val="28"/>
        </w:rPr>
        <w:t>预报服务</w:t>
      </w:r>
      <w:r w:rsidRPr="00740CC3">
        <w:rPr>
          <w:rFonts w:ascii="仿宋_GB2312" w:eastAsia="仿宋_GB2312" w:hint="eastAsia"/>
          <w:bCs/>
          <w:sz w:val="32"/>
          <w:szCs w:val="28"/>
        </w:rPr>
        <w:t>和</w:t>
      </w:r>
      <w:r w:rsidRPr="00740CC3">
        <w:rPr>
          <w:rFonts w:ascii="仿宋_GB2312" w:eastAsia="仿宋_GB2312"/>
          <w:bCs/>
          <w:sz w:val="32"/>
          <w:szCs w:val="28"/>
        </w:rPr>
        <w:t>政务信息</w:t>
      </w:r>
      <w:r>
        <w:rPr>
          <w:rFonts w:ascii="仿宋_GB2312" w:eastAsia="仿宋_GB2312" w:hint="eastAsia"/>
          <w:bCs/>
          <w:sz w:val="32"/>
          <w:szCs w:val="28"/>
        </w:rPr>
        <w:t>为主</w:t>
      </w:r>
      <w:r w:rsidRPr="00740CC3">
        <w:rPr>
          <w:rFonts w:ascii="仿宋_GB2312" w:eastAsia="仿宋_GB2312" w:hint="eastAsia"/>
          <w:bCs/>
          <w:sz w:val="32"/>
          <w:szCs w:val="28"/>
        </w:rPr>
        <w:t>，政务</w:t>
      </w:r>
      <w:r>
        <w:rPr>
          <w:rFonts w:ascii="仿宋_GB2312" w:eastAsia="仿宋_GB2312"/>
          <w:bCs/>
          <w:sz w:val="32"/>
          <w:szCs w:val="28"/>
        </w:rPr>
        <w:t>公开工作水平</w:t>
      </w:r>
      <w:r w:rsidRPr="00740CC3">
        <w:rPr>
          <w:rFonts w:ascii="仿宋_GB2312" w:eastAsia="仿宋_GB2312"/>
          <w:bCs/>
          <w:sz w:val="32"/>
          <w:szCs w:val="28"/>
        </w:rPr>
        <w:t>进一步提升，但仍存在一定</w:t>
      </w:r>
      <w:r w:rsidRPr="00740CC3">
        <w:rPr>
          <w:rFonts w:ascii="仿宋_GB2312" w:eastAsia="仿宋_GB2312" w:hint="eastAsia"/>
          <w:bCs/>
          <w:sz w:val="32"/>
          <w:szCs w:val="28"/>
        </w:rPr>
        <w:t>不足</w:t>
      </w:r>
      <w:r w:rsidRPr="00740CC3">
        <w:rPr>
          <w:rFonts w:ascii="仿宋_GB2312" w:eastAsia="仿宋_GB2312"/>
          <w:bCs/>
          <w:sz w:val="32"/>
          <w:szCs w:val="28"/>
        </w:rPr>
        <w:t>。</w:t>
      </w:r>
      <w:r w:rsidR="004351F2" w:rsidRPr="00A25C4B">
        <w:rPr>
          <w:rFonts w:ascii="仿宋_GB2312" w:eastAsia="仿宋_GB2312" w:cs="Tahoma" w:hint="eastAsia"/>
          <w:color w:val="000000"/>
          <w:sz w:val="32"/>
          <w:szCs w:val="32"/>
        </w:rPr>
        <w:t>主</w:t>
      </w:r>
      <w:r w:rsidR="004351F2" w:rsidRPr="00A25C4B">
        <w:rPr>
          <w:rFonts w:ascii="仿宋_GB2312" w:eastAsia="仿宋_GB2312" w:hAnsiTheme="minorEastAsia" w:hint="eastAsia"/>
          <w:sz w:val="32"/>
          <w:szCs w:val="32"/>
        </w:rPr>
        <w:t>要存在的问题：</w:t>
      </w:r>
      <w:r w:rsidR="00B1640F">
        <w:rPr>
          <w:rFonts w:ascii="仿宋_GB2312" w:eastAsia="仿宋_GB2312" w:hAnsi="宋体" w:cs="宋体" w:hint="eastAsia"/>
          <w:kern w:val="0"/>
          <w:sz w:val="32"/>
          <w:szCs w:val="32"/>
        </w:rPr>
        <w:t>一是信息公开数量、</w:t>
      </w:r>
      <w:r w:rsidR="00CE3E6D" w:rsidRPr="00A25C4B">
        <w:rPr>
          <w:rFonts w:ascii="仿宋_GB2312" w:eastAsia="仿宋_GB2312" w:hAnsi="宋体" w:cs="宋体" w:hint="eastAsia"/>
          <w:kern w:val="0"/>
          <w:sz w:val="32"/>
          <w:szCs w:val="32"/>
        </w:rPr>
        <w:t>及时性等方面还有待于进一步加强和完善；二是重点领域政府信息公开深度还不够。重点领域信息公开的范围不断扩大的同时，内容形式不够多样化。</w:t>
      </w:r>
      <w:r w:rsidR="00091285" w:rsidRPr="00A25C4B">
        <w:rPr>
          <w:rFonts w:ascii="仿宋_GB2312" w:eastAsia="仿宋_GB2312" w:hAnsiTheme="minorEastAsia" w:hint="eastAsia"/>
          <w:sz w:val="32"/>
          <w:szCs w:val="32"/>
        </w:rPr>
        <w:t>下一步，</w:t>
      </w:r>
      <w:r w:rsidR="00CE3E6D" w:rsidRPr="00A25C4B">
        <w:rPr>
          <w:rFonts w:ascii="仿宋_GB2312" w:eastAsia="仿宋_GB2312" w:hAnsiTheme="minorEastAsia" w:hint="eastAsia"/>
          <w:sz w:val="32"/>
          <w:szCs w:val="32"/>
        </w:rPr>
        <w:t>我局</w:t>
      </w:r>
      <w:r w:rsidR="00B1640F">
        <w:rPr>
          <w:rFonts w:ascii="仿宋_GB2312" w:eastAsia="仿宋_GB2312" w:hAnsiTheme="minorEastAsia" w:hint="eastAsia"/>
          <w:sz w:val="32"/>
          <w:szCs w:val="32"/>
        </w:rPr>
        <w:t>将</w:t>
      </w:r>
      <w:r w:rsidR="00CE3E6D" w:rsidRPr="00A25C4B">
        <w:rPr>
          <w:rFonts w:ascii="仿宋_GB2312" w:eastAsia="仿宋_GB2312" w:hAnsi="宋体" w:cs="宋体" w:hint="eastAsia"/>
          <w:kern w:val="0"/>
          <w:sz w:val="32"/>
          <w:szCs w:val="32"/>
        </w:rPr>
        <w:t>加</w:t>
      </w:r>
      <w:r w:rsidR="00B1640F">
        <w:rPr>
          <w:rFonts w:ascii="仿宋_GB2312" w:eastAsia="仿宋_GB2312" w:hAnsi="宋体" w:cs="宋体" w:hint="eastAsia"/>
          <w:kern w:val="0"/>
          <w:sz w:val="32"/>
          <w:szCs w:val="32"/>
        </w:rPr>
        <w:t>大政务公开力度，深入推进决策部署落实情况，做到信息公开</w:t>
      </w:r>
      <w:r w:rsidR="00CE3E6D" w:rsidRPr="00A25C4B">
        <w:rPr>
          <w:rFonts w:ascii="仿宋_GB2312" w:eastAsia="仿宋_GB2312" w:hAnsi="宋体" w:cs="宋体" w:hint="eastAsia"/>
          <w:kern w:val="0"/>
          <w:sz w:val="32"/>
          <w:szCs w:val="32"/>
        </w:rPr>
        <w:t>栏目齐全、更新及时、内容</w:t>
      </w:r>
      <w:r w:rsidR="00CE3E6D" w:rsidRPr="00A25C4B">
        <w:rPr>
          <w:rFonts w:ascii="仿宋_GB2312" w:eastAsia="仿宋_GB2312" w:hAnsi="宋体" w:cs="宋体" w:hint="eastAsia"/>
          <w:kern w:val="0"/>
          <w:sz w:val="32"/>
          <w:szCs w:val="32"/>
        </w:rPr>
        <w:lastRenderedPageBreak/>
        <w:t>实用、形式方式多样化，切实提高信息公开质量和水平。</w:t>
      </w:r>
    </w:p>
    <w:p w:rsidR="00A8295A" w:rsidRDefault="00BB3B3C" w:rsidP="00AB732E">
      <w:pPr>
        <w:pStyle w:val="a3"/>
        <w:ind w:firstLineChars="98" w:firstLine="314"/>
        <w:rPr>
          <w:rFonts w:ascii="黑体" w:eastAsia="黑体"/>
          <w:sz w:val="32"/>
          <w:szCs w:val="32"/>
        </w:rPr>
      </w:pPr>
      <w:r w:rsidRPr="00A25C4B">
        <w:rPr>
          <w:rFonts w:ascii="黑体" w:eastAsia="黑体" w:hint="eastAsia"/>
          <w:sz w:val="32"/>
          <w:szCs w:val="32"/>
        </w:rPr>
        <w:t xml:space="preserve"> </w:t>
      </w:r>
      <w:r w:rsidR="00D836C9">
        <w:rPr>
          <w:rFonts w:ascii="黑体" w:eastAsia="黑体" w:hint="eastAsia"/>
          <w:sz w:val="32"/>
          <w:szCs w:val="32"/>
        </w:rPr>
        <w:t xml:space="preserve"> </w:t>
      </w:r>
      <w:r w:rsidR="00BD6EB8" w:rsidRPr="00A25C4B">
        <w:rPr>
          <w:rFonts w:ascii="黑体" w:eastAsia="黑体" w:hint="eastAsia"/>
          <w:sz w:val="32"/>
          <w:szCs w:val="32"/>
        </w:rPr>
        <w:t>六</w:t>
      </w:r>
      <w:r w:rsidR="00A8295A" w:rsidRPr="00A25C4B">
        <w:rPr>
          <w:rFonts w:ascii="黑体" w:eastAsia="黑体" w:hint="eastAsia"/>
          <w:sz w:val="32"/>
          <w:szCs w:val="32"/>
        </w:rPr>
        <w:t>、其他需要报告的事项</w:t>
      </w:r>
    </w:p>
    <w:p w:rsidR="00B12CE7" w:rsidRPr="00797685" w:rsidRDefault="00797685" w:rsidP="00797685">
      <w:pPr>
        <w:pStyle w:val="a3"/>
        <w:ind w:firstLineChars="177" w:firstLine="566"/>
        <w:rPr>
          <w:rFonts w:ascii="仿宋_GB2312" w:eastAsia="仿宋_GB2312"/>
          <w:sz w:val="32"/>
          <w:szCs w:val="32"/>
        </w:rPr>
      </w:pPr>
      <w:bookmarkStart w:id="0" w:name="_GoBack"/>
      <w:bookmarkEnd w:id="0"/>
      <w:r w:rsidRPr="00797685">
        <w:rPr>
          <w:rFonts w:ascii="仿宋_GB2312" w:eastAsia="仿宋_GB2312"/>
          <w:sz w:val="32"/>
          <w:szCs w:val="32"/>
        </w:rPr>
        <w:t>本年度无其他需要报告的事项。</w:t>
      </w:r>
    </w:p>
    <w:sectPr w:rsidR="00B12CE7" w:rsidRPr="007976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B2" w:rsidRDefault="00D118B2" w:rsidP="00DF0BAC">
      <w:r>
        <w:separator/>
      </w:r>
    </w:p>
  </w:endnote>
  <w:endnote w:type="continuationSeparator" w:id="0">
    <w:p w:rsidR="00D118B2" w:rsidRDefault="00D118B2" w:rsidP="00DF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101180"/>
      <w:docPartObj>
        <w:docPartGallery w:val="Page Numbers (Bottom of Page)"/>
        <w:docPartUnique/>
      </w:docPartObj>
    </w:sdtPr>
    <w:sdtEndPr/>
    <w:sdtContent>
      <w:p w:rsidR="00A7449E" w:rsidRDefault="00A7449E">
        <w:pPr>
          <w:pStyle w:val="a5"/>
          <w:jc w:val="center"/>
        </w:pPr>
        <w:r>
          <w:fldChar w:fldCharType="begin"/>
        </w:r>
        <w:r>
          <w:instrText>PAGE   \* MERGEFORMAT</w:instrText>
        </w:r>
        <w:r>
          <w:fldChar w:fldCharType="separate"/>
        </w:r>
        <w:r w:rsidR="00797685" w:rsidRPr="00797685">
          <w:rPr>
            <w:noProof/>
            <w:lang w:val="zh-CN"/>
          </w:rPr>
          <w:t>7</w:t>
        </w:r>
        <w:r>
          <w:fldChar w:fldCharType="end"/>
        </w:r>
      </w:p>
    </w:sdtContent>
  </w:sdt>
  <w:p w:rsidR="00A7449E" w:rsidRDefault="00A744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B2" w:rsidRDefault="00D118B2" w:rsidP="00DF0BAC">
      <w:r>
        <w:separator/>
      </w:r>
    </w:p>
  </w:footnote>
  <w:footnote w:type="continuationSeparator" w:id="0">
    <w:p w:rsidR="00D118B2" w:rsidRDefault="00D118B2" w:rsidP="00DF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E68"/>
    <w:multiLevelType w:val="hybridMultilevel"/>
    <w:tmpl w:val="BA169024"/>
    <w:lvl w:ilvl="0" w:tplc="208C0324">
      <w:start w:val="1"/>
      <w:numFmt w:val="japaneseCounting"/>
      <w:lvlText w:val="(%1)"/>
      <w:lvlJc w:val="left"/>
      <w:pPr>
        <w:tabs>
          <w:tab w:val="num" w:pos="720"/>
        </w:tabs>
        <w:ind w:left="720" w:hanging="48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93"/>
    <w:rsid w:val="00035C70"/>
    <w:rsid w:val="000513F0"/>
    <w:rsid w:val="00086DA0"/>
    <w:rsid w:val="000870B8"/>
    <w:rsid w:val="00091285"/>
    <w:rsid w:val="00096E7C"/>
    <w:rsid w:val="000D23AE"/>
    <w:rsid w:val="000D702E"/>
    <w:rsid w:val="0016435A"/>
    <w:rsid w:val="0019126D"/>
    <w:rsid w:val="001E5FBC"/>
    <w:rsid w:val="001F36E5"/>
    <w:rsid w:val="0020435F"/>
    <w:rsid w:val="0025535F"/>
    <w:rsid w:val="0026376D"/>
    <w:rsid w:val="00267B0C"/>
    <w:rsid w:val="002763A1"/>
    <w:rsid w:val="00284AA6"/>
    <w:rsid w:val="00294D94"/>
    <w:rsid w:val="002D5AB1"/>
    <w:rsid w:val="002E2B33"/>
    <w:rsid w:val="002E5EE3"/>
    <w:rsid w:val="00311D9F"/>
    <w:rsid w:val="00324D4C"/>
    <w:rsid w:val="00337817"/>
    <w:rsid w:val="00353961"/>
    <w:rsid w:val="00366A3E"/>
    <w:rsid w:val="0037270D"/>
    <w:rsid w:val="003A131C"/>
    <w:rsid w:val="003E4896"/>
    <w:rsid w:val="004045F9"/>
    <w:rsid w:val="00404773"/>
    <w:rsid w:val="004351F2"/>
    <w:rsid w:val="00436260"/>
    <w:rsid w:val="00450BDB"/>
    <w:rsid w:val="00451CF4"/>
    <w:rsid w:val="0046088A"/>
    <w:rsid w:val="00471484"/>
    <w:rsid w:val="004A0EF3"/>
    <w:rsid w:val="004A33FB"/>
    <w:rsid w:val="004E6096"/>
    <w:rsid w:val="00500506"/>
    <w:rsid w:val="005065F5"/>
    <w:rsid w:val="005573B1"/>
    <w:rsid w:val="005966C3"/>
    <w:rsid w:val="005A187B"/>
    <w:rsid w:val="005A195D"/>
    <w:rsid w:val="005B0158"/>
    <w:rsid w:val="005B02CB"/>
    <w:rsid w:val="005C132F"/>
    <w:rsid w:val="005C29D8"/>
    <w:rsid w:val="00603BEA"/>
    <w:rsid w:val="00641393"/>
    <w:rsid w:val="00642F6F"/>
    <w:rsid w:val="006431AD"/>
    <w:rsid w:val="00696257"/>
    <w:rsid w:val="006B7834"/>
    <w:rsid w:val="006C070D"/>
    <w:rsid w:val="006C6110"/>
    <w:rsid w:val="006C692C"/>
    <w:rsid w:val="006D3E42"/>
    <w:rsid w:val="006D5413"/>
    <w:rsid w:val="00710149"/>
    <w:rsid w:val="0071797D"/>
    <w:rsid w:val="007522A1"/>
    <w:rsid w:val="00756F3D"/>
    <w:rsid w:val="007656B8"/>
    <w:rsid w:val="00791D17"/>
    <w:rsid w:val="00796A3B"/>
    <w:rsid w:val="00797685"/>
    <w:rsid w:val="00827394"/>
    <w:rsid w:val="00830F68"/>
    <w:rsid w:val="00836F1A"/>
    <w:rsid w:val="008B738D"/>
    <w:rsid w:val="008D3907"/>
    <w:rsid w:val="008E3036"/>
    <w:rsid w:val="00925FC7"/>
    <w:rsid w:val="009358D5"/>
    <w:rsid w:val="009762CF"/>
    <w:rsid w:val="009804B3"/>
    <w:rsid w:val="00991C8A"/>
    <w:rsid w:val="009C3087"/>
    <w:rsid w:val="009D446E"/>
    <w:rsid w:val="009E7775"/>
    <w:rsid w:val="009F3A30"/>
    <w:rsid w:val="00A25C4B"/>
    <w:rsid w:val="00A3326E"/>
    <w:rsid w:val="00A3725D"/>
    <w:rsid w:val="00A7449E"/>
    <w:rsid w:val="00A8295A"/>
    <w:rsid w:val="00A83959"/>
    <w:rsid w:val="00AB732E"/>
    <w:rsid w:val="00AC08E1"/>
    <w:rsid w:val="00AE06C2"/>
    <w:rsid w:val="00AF5EEF"/>
    <w:rsid w:val="00B12CE7"/>
    <w:rsid w:val="00B1640F"/>
    <w:rsid w:val="00B31FD9"/>
    <w:rsid w:val="00B46992"/>
    <w:rsid w:val="00B53A35"/>
    <w:rsid w:val="00B63605"/>
    <w:rsid w:val="00BA6F70"/>
    <w:rsid w:val="00BB3B3C"/>
    <w:rsid w:val="00BD6EB8"/>
    <w:rsid w:val="00BE4044"/>
    <w:rsid w:val="00BE6712"/>
    <w:rsid w:val="00C17758"/>
    <w:rsid w:val="00C21313"/>
    <w:rsid w:val="00C24D20"/>
    <w:rsid w:val="00C35047"/>
    <w:rsid w:val="00C6441B"/>
    <w:rsid w:val="00C76D7A"/>
    <w:rsid w:val="00C81025"/>
    <w:rsid w:val="00C970AE"/>
    <w:rsid w:val="00CA0D47"/>
    <w:rsid w:val="00CD38D3"/>
    <w:rsid w:val="00CE3E6D"/>
    <w:rsid w:val="00D048AE"/>
    <w:rsid w:val="00D118B2"/>
    <w:rsid w:val="00D24D0E"/>
    <w:rsid w:val="00D558D4"/>
    <w:rsid w:val="00D836C9"/>
    <w:rsid w:val="00D93B3B"/>
    <w:rsid w:val="00DE1500"/>
    <w:rsid w:val="00DF0BAC"/>
    <w:rsid w:val="00DF17D2"/>
    <w:rsid w:val="00E16B31"/>
    <w:rsid w:val="00E23794"/>
    <w:rsid w:val="00E33622"/>
    <w:rsid w:val="00E92344"/>
    <w:rsid w:val="00EC7ECE"/>
    <w:rsid w:val="00ED0AB8"/>
    <w:rsid w:val="00EF403F"/>
    <w:rsid w:val="00F00866"/>
    <w:rsid w:val="00F61BFA"/>
    <w:rsid w:val="00F809AA"/>
    <w:rsid w:val="00FD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F0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0BAC"/>
    <w:rPr>
      <w:sz w:val="18"/>
      <w:szCs w:val="18"/>
    </w:rPr>
  </w:style>
  <w:style w:type="paragraph" w:styleId="a5">
    <w:name w:val="footer"/>
    <w:basedOn w:val="a"/>
    <w:link w:val="Char0"/>
    <w:uiPriority w:val="99"/>
    <w:unhideWhenUsed/>
    <w:rsid w:val="00DF0BAC"/>
    <w:pPr>
      <w:tabs>
        <w:tab w:val="center" w:pos="4153"/>
        <w:tab w:val="right" w:pos="8306"/>
      </w:tabs>
      <w:snapToGrid w:val="0"/>
      <w:jc w:val="left"/>
    </w:pPr>
    <w:rPr>
      <w:sz w:val="18"/>
      <w:szCs w:val="18"/>
    </w:rPr>
  </w:style>
  <w:style w:type="character" w:customStyle="1" w:styleId="Char0">
    <w:name w:val="页脚 Char"/>
    <w:basedOn w:val="a0"/>
    <w:link w:val="a5"/>
    <w:uiPriority w:val="99"/>
    <w:rsid w:val="00DF0BAC"/>
    <w:rPr>
      <w:sz w:val="18"/>
      <w:szCs w:val="18"/>
    </w:rPr>
  </w:style>
  <w:style w:type="character" w:styleId="a6">
    <w:name w:val="Strong"/>
    <w:basedOn w:val="a0"/>
    <w:uiPriority w:val="22"/>
    <w:qFormat/>
    <w:rsid w:val="00CE3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F0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0BAC"/>
    <w:rPr>
      <w:sz w:val="18"/>
      <w:szCs w:val="18"/>
    </w:rPr>
  </w:style>
  <w:style w:type="paragraph" w:styleId="a5">
    <w:name w:val="footer"/>
    <w:basedOn w:val="a"/>
    <w:link w:val="Char0"/>
    <w:uiPriority w:val="99"/>
    <w:unhideWhenUsed/>
    <w:rsid w:val="00DF0BAC"/>
    <w:pPr>
      <w:tabs>
        <w:tab w:val="center" w:pos="4153"/>
        <w:tab w:val="right" w:pos="8306"/>
      </w:tabs>
      <w:snapToGrid w:val="0"/>
      <w:jc w:val="left"/>
    </w:pPr>
    <w:rPr>
      <w:sz w:val="18"/>
      <w:szCs w:val="18"/>
    </w:rPr>
  </w:style>
  <w:style w:type="character" w:customStyle="1" w:styleId="Char0">
    <w:name w:val="页脚 Char"/>
    <w:basedOn w:val="a0"/>
    <w:link w:val="a5"/>
    <w:uiPriority w:val="99"/>
    <w:rsid w:val="00DF0BAC"/>
    <w:rPr>
      <w:sz w:val="18"/>
      <w:szCs w:val="18"/>
    </w:rPr>
  </w:style>
  <w:style w:type="character" w:styleId="a6">
    <w:name w:val="Strong"/>
    <w:basedOn w:val="a0"/>
    <w:uiPriority w:val="22"/>
    <w:qFormat/>
    <w:rsid w:val="00CE3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7859">
      <w:bodyDiv w:val="1"/>
      <w:marLeft w:val="0"/>
      <w:marRight w:val="0"/>
      <w:marTop w:val="0"/>
      <w:marBottom w:val="0"/>
      <w:divBdr>
        <w:top w:val="none" w:sz="0" w:space="0" w:color="auto"/>
        <w:left w:val="none" w:sz="0" w:space="0" w:color="auto"/>
        <w:bottom w:val="none" w:sz="0" w:space="0" w:color="auto"/>
        <w:right w:val="none" w:sz="0" w:space="0" w:color="auto"/>
      </w:divBdr>
      <w:divsChild>
        <w:div w:id="339359315">
          <w:marLeft w:val="0"/>
          <w:marRight w:val="0"/>
          <w:marTop w:val="0"/>
          <w:marBottom w:val="150"/>
          <w:divBdr>
            <w:top w:val="none" w:sz="0" w:space="0" w:color="auto"/>
            <w:left w:val="none" w:sz="0" w:space="0" w:color="auto"/>
            <w:bottom w:val="none" w:sz="0" w:space="0" w:color="auto"/>
            <w:right w:val="none" w:sz="0" w:space="0" w:color="auto"/>
          </w:divBdr>
          <w:divsChild>
            <w:div w:id="895506772">
              <w:marLeft w:val="0"/>
              <w:marRight w:val="0"/>
              <w:marTop w:val="0"/>
              <w:marBottom w:val="0"/>
              <w:divBdr>
                <w:top w:val="none" w:sz="0" w:space="0" w:color="auto"/>
                <w:left w:val="none" w:sz="0" w:space="0" w:color="auto"/>
                <w:bottom w:val="none" w:sz="0" w:space="0" w:color="auto"/>
                <w:right w:val="none" w:sz="0" w:space="0" w:color="auto"/>
              </w:divBdr>
              <w:divsChild>
                <w:div w:id="1032878310">
                  <w:marLeft w:val="0"/>
                  <w:marRight w:val="0"/>
                  <w:marTop w:val="0"/>
                  <w:marBottom w:val="0"/>
                  <w:divBdr>
                    <w:top w:val="single" w:sz="6" w:space="0" w:color="DBDBDB"/>
                    <w:left w:val="single" w:sz="6" w:space="0" w:color="DBDBDB"/>
                    <w:bottom w:val="single" w:sz="6" w:space="0" w:color="DBDBDB"/>
                    <w:right w:val="single" w:sz="6" w:space="0" w:color="DBDBDB"/>
                  </w:divBdr>
                  <w:divsChild>
                    <w:div w:id="1869104932">
                      <w:marLeft w:val="300"/>
                      <w:marRight w:val="0"/>
                      <w:marTop w:val="0"/>
                      <w:marBottom w:val="0"/>
                      <w:divBdr>
                        <w:top w:val="none" w:sz="0" w:space="0" w:color="auto"/>
                        <w:left w:val="none" w:sz="0" w:space="0" w:color="auto"/>
                        <w:bottom w:val="none" w:sz="0" w:space="0" w:color="auto"/>
                        <w:right w:val="none" w:sz="0" w:space="0" w:color="auto"/>
                      </w:divBdr>
                      <w:divsChild>
                        <w:div w:id="140536535">
                          <w:marLeft w:val="0"/>
                          <w:marRight w:val="0"/>
                          <w:marTop w:val="0"/>
                          <w:marBottom w:val="0"/>
                          <w:divBdr>
                            <w:top w:val="none" w:sz="0" w:space="0" w:color="auto"/>
                            <w:left w:val="none" w:sz="0" w:space="0" w:color="auto"/>
                            <w:bottom w:val="none" w:sz="0" w:space="0" w:color="auto"/>
                            <w:right w:val="none" w:sz="0" w:space="0" w:color="auto"/>
                          </w:divBdr>
                          <w:divsChild>
                            <w:div w:id="1710299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6088">
      <w:bodyDiv w:val="1"/>
      <w:marLeft w:val="0"/>
      <w:marRight w:val="0"/>
      <w:marTop w:val="0"/>
      <w:marBottom w:val="0"/>
      <w:divBdr>
        <w:top w:val="none" w:sz="0" w:space="0" w:color="auto"/>
        <w:left w:val="none" w:sz="0" w:space="0" w:color="auto"/>
        <w:bottom w:val="none" w:sz="0" w:space="0" w:color="auto"/>
        <w:right w:val="none" w:sz="0" w:space="0" w:color="auto"/>
      </w:divBdr>
    </w:div>
    <w:div w:id="19730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409</Words>
  <Characters>2335</Characters>
  <Application>Microsoft Office Word</Application>
  <DocSecurity>0</DocSecurity>
  <Lines>19</Lines>
  <Paragraphs>5</Paragraphs>
  <ScaleCrop>false</ScaleCrop>
  <Company>微软中国</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薛雅亚</dc:creator>
  <cp:keywords/>
  <dc:description/>
  <cp:lastModifiedBy>NOT NULL</cp:lastModifiedBy>
  <cp:revision>7</cp:revision>
  <dcterms:created xsi:type="dcterms:W3CDTF">2021-04-02T09:10:00Z</dcterms:created>
  <dcterms:modified xsi:type="dcterms:W3CDTF">2022-01-29T01:44:00Z</dcterms:modified>
</cp:coreProperties>
</file>