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/>
          <w:sz w:val="44"/>
          <w:szCs w:val="44"/>
        </w:rPr>
        <w:t>2020</w:t>
      </w:r>
      <w:r>
        <w:rPr>
          <w:rFonts w:hint="eastAsia" w:ascii="创艺简标宋" w:eastAsia="创艺简标宋"/>
          <w:sz w:val="44"/>
          <w:szCs w:val="44"/>
        </w:rPr>
        <w:t>年宁海县政务服务办公室</w:t>
      </w:r>
    </w:p>
    <w:p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信息公开工</w:t>
      </w:r>
      <w:bookmarkStart w:id="0" w:name="_GoBack"/>
      <w:bookmarkEnd w:id="0"/>
      <w:r>
        <w:rPr>
          <w:rFonts w:hint="eastAsia" w:ascii="创艺简标宋" w:eastAsia="创艺简标宋"/>
          <w:sz w:val="44"/>
          <w:szCs w:val="44"/>
        </w:rPr>
        <w:t>作年度报告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根据《中华人民共和国政府信息公开条例》（以下简称《条例》）和《宁波市人民政府办公厅关于印发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年宁波市政务公开工作要点的通知》（甬政办发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hAnsi="仿宋" w:eastAsia="仿宋_GB2312"/>
          <w:sz w:val="32"/>
          <w:szCs w:val="32"/>
        </w:rPr>
        <w:t>45</w:t>
      </w:r>
      <w:r>
        <w:rPr>
          <w:rFonts w:hint="eastAsia" w:ascii="仿宋_GB2312" w:hAnsi="仿宋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等文件</w:t>
      </w:r>
      <w:r>
        <w:rPr>
          <w:rFonts w:hint="eastAsia" w:ascii="仿宋_GB2312" w:hAnsi="仿宋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</w:rPr>
        <w:t>特向社会公布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年度宁海县政务服务办公室信息公开工作年度报告。</w:t>
      </w:r>
      <w:r>
        <w:rPr>
          <w:rFonts w:hint="eastAsia" w:ascii="仿宋_GB2312" w:hAnsi="仿宋" w:eastAsia="仿宋_GB2312"/>
          <w:sz w:val="32"/>
          <w:szCs w:val="32"/>
        </w:rPr>
        <w:t>本年报中所列数据的统</w:t>
      </w:r>
      <w:r>
        <w:rPr>
          <w:rFonts w:hint="eastAsia" w:ascii="仿宋_GB2312" w:eastAsia="仿宋_GB2312"/>
          <w:sz w:val="32"/>
          <w:szCs w:val="32"/>
        </w:rPr>
        <w:t>计日期自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日止。</w:t>
      </w:r>
    </w:p>
    <w:p>
      <w:pPr>
        <w:spacing w:line="580" w:lineRule="exact"/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本年报电子版可在宁海县政府信息公开网县政务服务办公室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http://zfxx.ninghai.gov.cn/nhxxgk_public/jcms_files/jcms1/web41/site/col/col121/index.html</w:t>
      </w:r>
      <w:r>
        <w:rPr>
          <w:rFonts w:hint="eastAsia" w:ascii="仿宋_GB2312" w:eastAsia="仿宋_GB2312"/>
          <w:sz w:val="32"/>
          <w:szCs w:val="32"/>
        </w:rPr>
        <w:t>）处下载。如对本年度报告有疑问，请与宁海县政务服务办公室联系（地址：宁海县金水东路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号，邮编：</w:t>
      </w:r>
      <w:r>
        <w:rPr>
          <w:rFonts w:ascii="仿宋_GB2312" w:eastAsia="仿宋_GB2312"/>
          <w:sz w:val="32"/>
          <w:szCs w:val="32"/>
        </w:rPr>
        <w:t>315600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ascii="仿宋_GB2312" w:hAnsi="仿宋" w:eastAsia="仿宋_GB2312"/>
          <w:sz w:val="32"/>
          <w:szCs w:val="32"/>
        </w:rPr>
        <w:t>1318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，传真：</w:t>
      </w:r>
      <w:r>
        <w:rPr>
          <w:rFonts w:ascii="仿宋_GB2312" w:hAnsi="仿宋" w:eastAsia="仿宋_GB2312"/>
          <w:sz w:val="32"/>
          <w:szCs w:val="32"/>
        </w:rPr>
        <w:t>65131815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80" w:lineRule="exact"/>
        <w:ind w:firstLine="62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1"/>
          <w:szCs w:val="31"/>
        </w:rPr>
        <w:t>2020</w:t>
      </w:r>
      <w:r>
        <w:rPr>
          <w:rFonts w:hint="eastAsia" w:ascii="仿宋_GB2312" w:hAnsi="仿宋_GB2312" w:eastAsia="仿宋_GB2312" w:cs="仿宋_GB2312"/>
          <w:sz w:val="31"/>
          <w:szCs w:val="31"/>
        </w:rPr>
        <w:t>年，</w:t>
      </w:r>
      <w:r>
        <w:rPr>
          <w:rFonts w:hint="eastAsia" w:ascii="仿宋_GB2312" w:eastAsia="仿宋_GB2312"/>
          <w:sz w:val="32"/>
          <w:szCs w:val="32"/>
          <w:shd w:val="clear" w:color="auto" w:fill="FDFDFE"/>
        </w:rPr>
        <w:t>县政务办以“公开为常态、不公开为例外”为原则，以政务服务政府信息公开为重点，紧密结合机构改革职能调整的实际，立足主业主责，将政府信息公开工作贯穿年度各项任务始终，不断加强政府信息公开力度，增强政府信息公开深度，拓展政府信息公开广度，助推我办政府信息公开工作规范、有序、健康发展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DFDFE"/>
        </w:rPr>
        <w:t>（一）推进主动公开，政府信息公开更趋高效</w:t>
      </w:r>
    </w:p>
    <w:p>
      <w:pPr>
        <w:spacing w:line="580" w:lineRule="exact"/>
        <w:ind w:firstLine="643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一是主动发布，抓好疫情防控。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疫情期间发布相关文件，公布29个已入驻的县级部门、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个分中心以及</w:t>
      </w:r>
      <w:r>
        <w:rPr>
          <w:rFonts w:ascii="仿宋_GB2312" w:hAnsi="微软雅黑" w:eastAsia="仿宋_GB2312" w:cs="宋体"/>
          <w:kern w:val="0"/>
          <w:sz w:val="32"/>
          <w:szCs w:val="32"/>
        </w:rPr>
        <w:t>18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个乡镇（街道）便民服务中心咨询电话和常办业务，推出“网上办”“视频办”“邮寄办”等方式申报业务办理，有效减少人员集聚，遏制疫情扩散和蔓延。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二是主动恢复，抓好复工复产。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多次召开精密智控指数相关会议，建立钉钉工作交流群，专人负责每日进行办件量恢复度通报，督促部门将每日办件及时录入系统，确保我县办件恢复始终保持全大市前列，使我县群众办事恢复度持续提升。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FDFDFE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DFDFE"/>
        </w:rPr>
        <w:t>（二）依法办理依申请公开，政府信息公开更趋透明</w:t>
      </w: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0"/>
        <w:rPr>
          <w:rFonts w:ascii="微软雅黑" w:hAnsi="微软雅黑"/>
          <w:sz w:val="27"/>
          <w:szCs w:val="27"/>
        </w:rPr>
      </w:pPr>
      <w:r>
        <w:rPr>
          <w:rFonts w:ascii="仿宋_GB2312" w:hAnsi="微软雅黑" w:eastAsia="仿宋_GB2312"/>
          <w:sz w:val="32"/>
          <w:szCs w:val="32"/>
        </w:rPr>
        <w:t>2020</w:t>
      </w:r>
      <w:r>
        <w:rPr>
          <w:rFonts w:hint="eastAsia" w:ascii="仿宋_GB2312" w:hAnsi="微软雅黑" w:eastAsia="仿宋_GB2312"/>
          <w:sz w:val="32"/>
          <w:szCs w:val="32"/>
        </w:rPr>
        <w:t>年，我办共收到依申请公开件</w:t>
      </w:r>
      <w:r>
        <w:rPr>
          <w:rFonts w:ascii="仿宋_GB2312" w:hAnsi="微软雅黑" w:eastAsia="仿宋_GB2312"/>
          <w:sz w:val="32"/>
          <w:szCs w:val="32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件。收件后，我办第一时间指定专人办理依申请公开工作</w:t>
      </w:r>
      <w:r>
        <w:rPr>
          <w:rFonts w:ascii="仿宋_GB2312" w:hAnsi="微软雅黑" w:eastAsia="仿宋_GB2312"/>
          <w:sz w:val="32"/>
          <w:szCs w:val="32"/>
        </w:rPr>
        <w:t>,</w:t>
      </w:r>
      <w:r>
        <w:rPr>
          <w:rFonts w:hint="eastAsia" w:ascii="仿宋_GB2312" w:hAnsi="微软雅黑" w:eastAsia="仿宋_GB2312"/>
          <w:sz w:val="32"/>
          <w:szCs w:val="32"/>
        </w:rPr>
        <w:t>依法依规在法定时限内完成答复</w:t>
      </w:r>
      <w:r>
        <w:rPr>
          <w:rFonts w:ascii="仿宋_GB2312" w:hAnsi="微软雅黑" w:eastAsia="仿宋_GB2312"/>
          <w:sz w:val="32"/>
          <w:szCs w:val="32"/>
        </w:rPr>
        <w:t>,</w:t>
      </w:r>
      <w:r>
        <w:rPr>
          <w:rFonts w:hint="eastAsia" w:ascii="仿宋_GB2312" w:hAnsi="微软雅黑" w:eastAsia="仿宋_GB2312"/>
          <w:sz w:val="32"/>
          <w:szCs w:val="32"/>
        </w:rPr>
        <w:t>未出现延期处理等问题。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FDFDFE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DFDFE"/>
        </w:rPr>
        <w:t>（三）强化信息管理，政府信息公开更趋标准</w:t>
      </w: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3"/>
        <w:rPr>
          <w:rFonts w:hint="eastAsia" w:ascii="仿宋_GB2312" w:hAnsi="微软雅黑" w:eastAsia="仿宋_GB2312"/>
          <w:sz w:val="32"/>
          <w:szCs w:val="32"/>
        </w:rPr>
      </w:pPr>
      <w:r>
        <w:rPr>
          <w:rStyle w:val="9"/>
          <w:rFonts w:hint="eastAsia" w:ascii="仿宋_GB2312" w:hAnsi="微软雅黑" w:eastAsia="仿宋_GB2312" w:cs="宋体"/>
          <w:sz w:val="32"/>
          <w:szCs w:val="32"/>
        </w:rPr>
        <w:t>一是加强信息发布审查。</w:t>
      </w:r>
      <w:r>
        <w:rPr>
          <w:rFonts w:hint="eastAsia" w:ascii="仿宋_GB2312" w:hAnsi="微软雅黑" w:eastAsia="仿宋_GB2312"/>
          <w:sz w:val="32"/>
          <w:szCs w:val="32"/>
        </w:rPr>
        <w:t>以“公开为常态、不公开为例外”为原则，结合保密意识，对外发布的任何信息公开坚持“谁发布，谁负责”的原则，职能科室第一把关，综合科总把关，审核通过后进行发布。</w:t>
      </w:r>
      <w:r>
        <w:rPr>
          <w:rStyle w:val="9"/>
          <w:rFonts w:hint="eastAsia" w:ascii="仿宋_GB2312" w:hAnsi="微软雅黑" w:eastAsia="仿宋_GB2312" w:cs="宋体"/>
          <w:sz w:val="32"/>
          <w:szCs w:val="32"/>
        </w:rPr>
        <w:t>二是主动开展自我检查。</w:t>
      </w:r>
      <w:r>
        <w:rPr>
          <w:rFonts w:hint="eastAsia" w:ascii="仿宋_GB2312" w:hAnsi="微软雅黑" w:eastAsia="仿宋_GB2312"/>
          <w:sz w:val="32"/>
          <w:szCs w:val="32"/>
        </w:rPr>
        <w:t>全面梳理排查县行政服务中心网站内容，浙江省政务服务网宁波平台等涉及我办相关事项信息，及时补充、更新相关信息，确保公开内容翔实准确。</w:t>
      </w: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3"/>
        <w:rPr>
          <w:rFonts w:ascii="微软雅黑" w:hAnsi="微软雅黑"/>
          <w:sz w:val="27"/>
          <w:szCs w:val="27"/>
        </w:rPr>
      </w:pP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0"/>
        <w:rPr>
          <w:rFonts w:ascii="微软雅黑" w:hAnsi="微软雅黑"/>
          <w:b/>
          <w:sz w:val="27"/>
          <w:szCs w:val="27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（四）推进平台建设，公开渠道更趋多元</w:t>
      </w: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3"/>
        <w:rPr>
          <w:rFonts w:ascii="仿宋_GB2312" w:hAnsi="微软雅黑" w:eastAsia="仿宋_GB2312"/>
          <w:sz w:val="32"/>
          <w:szCs w:val="32"/>
        </w:rPr>
      </w:pPr>
      <w:r>
        <w:rPr>
          <w:rStyle w:val="9"/>
          <w:rFonts w:hint="eastAsia" w:ascii="仿宋_GB2312" w:hAnsi="微软雅黑" w:eastAsia="仿宋_GB2312" w:cs="宋体"/>
          <w:sz w:val="32"/>
          <w:szCs w:val="32"/>
        </w:rPr>
        <w:t>一是优化政府信息公开功能。</w:t>
      </w:r>
      <w:r>
        <w:rPr>
          <w:rFonts w:hint="eastAsia" w:ascii="仿宋_GB2312" w:hAnsi="微软雅黑" w:eastAsia="仿宋_GB2312"/>
          <w:sz w:val="32"/>
          <w:szCs w:val="32"/>
        </w:rPr>
        <w:t>公布政府信息公开指南、制度、内容等，结合我办机构改革职能调整的实际，及时更新。维护“宁海县政务服务办公室”微博和县政府政府信息公开平台运行，每月不定期推送动态。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sz w:val="32"/>
          <w:szCs w:val="32"/>
          <w:shd w:val="clear" w:color="auto" w:fill="FDFDFE"/>
        </w:rPr>
        <w:t>二是提升软硬并重，完成政务</w:t>
      </w:r>
      <w:r>
        <w:rPr>
          <w:rStyle w:val="9"/>
          <w:rFonts w:ascii="仿宋_GB2312" w:hAnsi="微软雅黑" w:eastAsia="仿宋_GB2312"/>
          <w:sz w:val="32"/>
          <w:szCs w:val="32"/>
          <w:shd w:val="clear" w:color="auto" w:fill="FDFDFE"/>
        </w:rPr>
        <w:t>2.0</w:t>
      </w:r>
      <w:r>
        <w:rPr>
          <w:rStyle w:val="9"/>
          <w:rFonts w:hint="eastAsia" w:ascii="仿宋_GB2312" w:hAnsi="微软雅黑" w:eastAsia="仿宋_GB2312"/>
          <w:sz w:val="32"/>
          <w:szCs w:val="32"/>
          <w:shd w:val="clear" w:color="auto" w:fill="FDFDFE"/>
        </w:rPr>
        <w:t>大厅改造。</w:t>
      </w:r>
      <w:r>
        <w:rPr>
          <w:rFonts w:hint="eastAsia" w:ascii="仿宋_GB2312" w:eastAsia="仿宋_GB2312"/>
          <w:sz w:val="32"/>
          <w:szCs w:val="32"/>
        </w:rPr>
        <w:t>升级无声叫号系统，通过手机短信取代之前传统广播叫号模式，并率先在全市实现县乡（街道）政务服务“好差评”全覆盖，同时建立申诉复核机制，排除误评和“恶意”差评，不断强化窗口服务意识，提高服务水平。</w:t>
      </w: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0"/>
        <w:rPr>
          <w:rFonts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（五）加强监督保障，政府信息公开更趋规范</w:t>
      </w:r>
    </w:p>
    <w:p>
      <w:pPr>
        <w:pStyle w:val="5"/>
        <w:shd w:val="clear" w:color="auto" w:fill="FDFDFE"/>
        <w:spacing w:before="0" w:beforeAutospacing="0" w:after="0" w:afterAutospacing="0" w:line="580" w:lineRule="exact"/>
        <w:ind w:firstLine="643"/>
        <w:rPr>
          <w:rFonts w:ascii="微软雅黑" w:hAnsi="微软雅黑"/>
          <w:sz w:val="27"/>
          <w:szCs w:val="27"/>
        </w:rPr>
      </w:pPr>
      <w:r>
        <w:rPr>
          <w:rStyle w:val="9"/>
          <w:rFonts w:hint="eastAsia" w:ascii="仿宋_GB2312" w:hAnsi="微软雅黑" w:eastAsia="仿宋_GB2312" w:cs="宋体"/>
          <w:sz w:val="32"/>
          <w:szCs w:val="32"/>
        </w:rPr>
        <w:t>一是强化组织保障。</w:t>
      </w:r>
      <w:r>
        <w:rPr>
          <w:rFonts w:hint="eastAsia" w:ascii="仿宋_GB2312" w:hAnsi="微软雅黑" w:eastAsia="仿宋_GB2312"/>
          <w:sz w:val="32"/>
          <w:szCs w:val="32"/>
        </w:rPr>
        <w:t>在机构职能改革衔接期间，依旧紧绷政府信息公开工作之弦，由综合科牵头，各科室积极配合，始终有条不紊地推进政府信息公开工作。</w:t>
      </w:r>
      <w:r>
        <w:rPr>
          <w:rStyle w:val="9"/>
          <w:rFonts w:hint="eastAsia" w:ascii="仿宋_GB2312" w:hAnsi="微软雅黑" w:eastAsia="仿宋_GB2312" w:cs="宋体"/>
          <w:sz w:val="32"/>
          <w:szCs w:val="32"/>
        </w:rPr>
        <w:t>二是坚持政府信息公开与业务工作并行。</w:t>
      </w:r>
      <w:r>
        <w:rPr>
          <w:rFonts w:hint="eastAsia" w:ascii="仿宋_GB2312" w:hAnsi="微软雅黑" w:eastAsia="仿宋_GB2312"/>
          <w:sz w:val="32"/>
          <w:szCs w:val="32"/>
        </w:rPr>
        <w:t>把政府信息公开工作与政务服务、中心平台建设等工作同策划、同部署、同检查，形成上下联动、整体推进的工作新格局。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月，县政务办主动公开政府信息</w:t>
      </w:r>
      <w:r>
        <w:rPr>
          <w:rFonts w:ascii="仿宋_GB2312" w:eastAsia="仿宋_GB2312"/>
          <w:sz w:val="32"/>
          <w:szCs w:val="32"/>
        </w:rPr>
        <w:t>8260</w:t>
      </w:r>
      <w:r>
        <w:rPr>
          <w:rFonts w:hint="eastAsia" w:ascii="仿宋_GB2312" w:eastAsia="仿宋_GB2312"/>
          <w:sz w:val="32"/>
          <w:szCs w:val="32"/>
        </w:rPr>
        <w:t>条，其中政府网站公开政府信息</w:t>
      </w:r>
      <w:r>
        <w:rPr>
          <w:rFonts w:ascii="仿宋_GB2312" w:eastAsia="仿宋_GB2312"/>
          <w:sz w:val="32"/>
          <w:szCs w:val="32"/>
        </w:rPr>
        <w:t>8213</w:t>
      </w:r>
      <w:r>
        <w:rPr>
          <w:rFonts w:hint="eastAsia" w:ascii="仿宋_GB2312" w:eastAsia="仿宋_GB2312"/>
          <w:sz w:val="32"/>
          <w:szCs w:val="32"/>
        </w:rPr>
        <w:t>条，占比</w:t>
      </w:r>
      <w:r>
        <w:rPr>
          <w:rFonts w:ascii="仿宋_GB2312" w:eastAsia="仿宋_GB2312"/>
          <w:sz w:val="32"/>
          <w:szCs w:val="32"/>
        </w:rPr>
        <w:t>99.43%</w:t>
      </w:r>
      <w:r>
        <w:rPr>
          <w:rFonts w:hint="eastAsia" w:ascii="仿宋_GB2312" w:eastAsia="仿宋_GB2312"/>
          <w:sz w:val="32"/>
          <w:szCs w:val="32"/>
        </w:rPr>
        <w:t>；通过</w:t>
      </w:r>
      <w:r>
        <w:rPr>
          <w:rFonts w:hint="eastAsia" w:ascii="仿宋_GB2312" w:hAnsi="宋体" w:eastAsia="仿宋_GB2312" w:cs="方正仿宋_GBK"/>
          <w:snapToGrid w:val="0"/>
          <w:sz w:val="32"/>
          <w:szCs w:val="32"/>
        </w:rPr>
        <w:t>政务微博公开政府信息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hint="eastAsia" w:ascii="仿宋_GB2312" w:eastAsia="仿宋_GB2312"/>
          <w:sz w:val="32"/>
          <w:szCs w:val="32"/>
        </w:rPr>
        <w:t>条，占比</w:t>
      </w:r>
      <w:r>
        <w:rPr>
          <w:rFonts w:ascii="仿宋_GB2312" w:eastAsia="仿宋_GB2312"/>
          <w:sz w:val="32"/>
          <w:szCs w:val="32"/>
        </w:rPr>
        <w:t>0.</w:t>
      </w:r>
      <w:r>
        <w:rPr>
          <w:rFonts w:hint="eastAsia" w:ascii="仿宋_GB2312" w:eastAsia="仿宋_GB2312"/>
          <w:sz w:val="32"/>
          <w:szCs w:val="32"/>
        </w:rPr>
        <w:t>57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6"/>
        <w:tblW w:w="86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2229"/>
        <w:gridCol w:w="1842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本年新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制作数量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本年新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公开数量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规范性文件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上一年项目数量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本年增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行政许可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其他对外管理服务事项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上一年项目数量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本年增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行政强制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上一年项目数量</w:t>
            </w:r>
          </w:p>
        </w:tc>
        <w:tc>
          <w:tcPr>
            <w:tcW w:w="3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本年增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行政事业性收费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采购项目数量</w:t>
            </w:r>
          </w:p>
        </w:tc>
        <w:tc>
          <w:tcPr>
            <w:tcW w:w="3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政府集中采购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266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三、依申请公开政府信息情况</w:t>
      </w:r>
    </w:p>
    <w:tbl>
      <w:tblPr>
        <w:tblStyle w:val="6"/>
        <w:tblW w:w="8775" w:type="dxa"/>
        <w:jc w:val="center"/>
        <w:tblInd w:w="8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773"/>
        <w:gridCol w:w="2477"/>
        <w:gridCol w:w="534"/>
        <w:gridCol w:w="752"/>
        <w:gridCol w:w="816"/>
        <w:gridCol w:w="845"/>
        <w:gridCol w:w="1012"/>
        <w:gridCol w:w="450"/>
        <w:gridCol w:w="4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9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自然人</w:t>
            </w:r>
          </w:p>
        </w:tc>
        <w:tc>
          <w:tcPr>
            <w:tcW w:w="38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法人或其他组织</w:t>
            </w:r>
          </w:p>
        </w:tc>
        <w:tc>
          <w:tcPr>
            <w:tcW w:w="4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商业企业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科研机构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73" w:leftChars="-35" w:right="-73" w:rightChars="-3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社会公益组织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法律服务机构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</w:t>
            </w:r>
          </w:p>
        </w:tc>
        <w:tc>
          <w:tcPr>
            <w:tcW w:w="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三、本年度办理结果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（一）予以公开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（三）不予公开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属于国家秘密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其他法律行政法规禁止公开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危及“三安全一稳定”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保护第三方合法权益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5.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属于三类内部事务信息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6.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属于四类过程性信息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7.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属于行政执法案卷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8.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属于行政查询事项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（四）无法提供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本机关不掌握相关政府信息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没有现成信息需要另行制作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补正后申请内容仍不明确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（五）不予处理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信访举报投诉类申请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要求提供公开出版物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无正当理由大量反复申请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楷体"/>
                <w:kern w:val="0"/>
                <w:szCs w:val="21"/>
              </w:rPr>
              <w:t>5.</w:t>
            </w: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（六）其他处理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楷体"/>
                <w:kern w:val="0"/>
                <w:szCs w:val="21"/>
              </w:rPr>
              <w:t>（七）总计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四、被申请行政复议、提起行政诉讼情况</w:t>
      </w:r>
    </w:p>
    <w:tbl>
      <w:tblPr>
        <w:tblStyle w:val="6"/>
        <w:tblW w:w="8630" w:type="dxa"/>
        <w:jc w:val="center"/>
        <w:tblInd w:w="4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25"/>
        <w:gridCol w:w="625"/>
        <w:gridCol w:w="625"/>
        <w:gridCol w:w="421"/>
        <w:gridCol w:w="624"/>
        <w:gridCol w:w="624"/>
        <w:gridCol w:w="624"/>
        <w:gridCol w:w="624"/>
        <w:gridCol w:w="420"/>
        <w:gridCol w:w="624"/>
        <w:gridCol w:w="624"/>
        <w:gridCol w:w="624"/>
        <w:gridCol w:w="624"/>
        <w:gridCol w:w="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7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行政复议</w:t>
            </w:r>
          </w:p>
        </w:tc>
        <w:tc>
          <w:tcPr>
            <w:tcW w:w="583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4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结果维持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结果纠正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其他结果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尚未审结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五、信息公开工作存在的主要问题及改进情况</w:t>
      </w:r>
    </w:p>
    <w:p>
      <w:pPr>
        <w:spacing w:line="580" w:lineRule="exact"/>
        <w:ind w:firstLine="643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（一）存在的主要问题</w:t>
      </w:r>
    </w:p>
    <w:p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年，县政务服务办公室政府信息公开工作从总体来看，运行状况较好，</w:t>
      </w:r>
      <w:r>
        <w:rPr>
          <w:rFonts w:hint="eastAsia" w:ascii="仿宋_GB2312" w:hAnsi="仿宋" w:eastAsia="仿宋_GB2312"/>
          <w:sz w:val="32"/>
          <w:szCs w:val="32"/>
        </w:rPr>
        <w:t>取得了一定的进展</w:t>
      </w:r>
      <w:r>
        <w:rPr>
          <w:rFonts w:ascii="仿宋_GB2312" w:hAnsi="仿宋" w:eastAsia="仿宋_GB2312"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对照上级要求和公众期望，还存在一定的差距</w:t>
      </w:r>
      <w:r>
        <w:rPr>
          <w:rFonts w:hint="eastAsia" w:ascii="仿宋_GB2312" w:eastAsia="仿宋_GB2312"/>
          <w:sz w:val="32"/>
          <w:szCs w:val="32"/>
        </w:rPr>
        <w:t>：一是信息公开规范、准确、及时需要进一步规范与加强；二是政策解读力度不够；三是政府信息公开工作宣传力度与公开的形式有待于创新和提高。</w:t>
      </w:r>
    </w:p>
    <w:p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（二）改进情况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面对新时代新形势新要求，</w:t>
      </w:r>
      <w:r>
        <w:rPr>
          <w:rFonts w:hint="eastAsia" w:ascii="仿宋_GB2312" w:eastAsia="仿宋_GB2312"/>
          <w:sz w:val="32"/>
          <w:szCs w:val="32"/>
        </w:rPr>
        <w:t>在今后的工作中，我办将持续贯彻落实《条例》以及《</w:t>
      </w:r>
      <w:r>
        <w:rPr>
          <w:rFonts w:hint="eastAsia" w:ascii="仿宋_GB2312" w:hAnsi="仿宋" w:eastAsia="仿宋_GB2312"/>
          <w:sz w:val="32"/>
          <w:szCs w:val="32"/>
        </w:rPr>
        <w:t>宁波市人民政府办公厅关于印发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年宁波市政务公开工作要点的通知</w:t>
      </w:r>
      <w:r>
        <w:rPr>
          <w:rFonts w:hint="eastAsia" w:ascii="仿宋_GB2312" w:eastAsia="仿宋_GB2312"/>
          <w:sz w:val="32"/>
          <w:szCs w:val="32"/>
        </w:rPr>
        <w:t>》等文件要求，主动公开内容，加强审批工作信息解读，优化信息公开服务，切实提高政府信息公开水平。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微软雅黑" w:eastAsia="仿宋_GB2312"/>
          <w:b/>
          <w:sz w:val="32"/>
          <w:szCs w:val="32"/>
        </w:rPr>
        <w:t>进一步加强政府信息公开工作培训。</w:t>
      </w:r>
      <w:r>
        <w:rPr>
          <w:rFonts w:hint="eastAsia" w:ascii="仿宋_GB2312" w:hAnsi="微软雅黑" w:eastAsia="仿宋_GB2312"/>
          <w:sz w:val="32"/>
          <w:szCs w:val="32"/>
        </w:rPr>
        <w:t>利用县政府相关平台等平台，积极参与政府信息公开工作专题培训，切实提升人员意识，提高政府信息公开工作水平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进一步加强公开方式，拓宽信息公开渠道。</w:t>
      </w:r>
      <w:r>
        <w:rPr>
          <w:rFonts w:hint="eastAsia" w:ascii="仿宋_GB2312" w:eastAsia="仿宋_GB2312"/>
          <w:sz w:val="32"/>
          <w:szCs w:val="32"/>
        </w:rPr>
        <w:t>根据政务服务</w:t>
      </w:r>
      <w:r>
        <w:rPr>
          <w:rFonts w:ascii="仿宋_GB2312" w:eastAsia="仿宋_GB2312"/>
          <w:sz w:val="32"/>
          <w:szCs w:val="32"/>
        </w:rPr>
        <w:t>2.0</w:t>
      </w:r>
      <w:r>
        <w:rPr>
          <w:rFonts w:hint="eastAsia" w:ascii="仿宋_GB2312" w:eastAsia="仿宋_GB2312"/>
          <w:sz w:val="32"/>
          <w:szCs w:val="32"/>
        </w:rPr>
        <w:t>行政服务大厅改造要求，学习先进试点经验，进一步抓好软硬件配套提升工作，进一步抓好政务服务</w:t>
      </w:r>
      <w:r>
        <w:rPr>
          <w:rFonts w:ascii="仿宋_GB2312" w:eastAsia="仿宋_GB2312"/>
          <w:sz w:val="32"/>
          <w:szCs w:val="32"/>
        </w:rPr>
        <w:t>2.0</w:t>
      </w:r>
      <w:r>
        <w:rPr>
          <w:rFonts w:hint="eastAsia" w:ascii="仿宋_GB2312" w:eastAsia="仿宋_GB2312"/>
          <w:sz w:val="32"/>
          <w:szCs w:val="32"/>
        </w:rPr>
        <w:t>平台应用。根据各办理区实际情况，加强自助办理区工作队伍力量，进一步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</w:rPr>
        <w:t>使办事群众、企业体验到人性化、零等候的线下政务服务。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进一步扩大信息公开范围，完善政策解读栏目。</w:t>
      </w:r>
      <w:r>
        <w:rPr>
          <w:rFonts w:hint="eastAsia" w:ascii="仿宋_GB2312" w:eastAsia="仿宋_GB2312"/>
          <w:sz w:val="32"/>
          <w:szCs w:val="32"/>
        </w:rPr>
        <w:t>按规定上传有效的政策解读栏目信息，对原有的政府信息公开目录进行补充完善，并及时公开需要公开的信息，确保公开信息的及时性、完整性和准确性。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本年度无其他需要报告的事项。</w:t>
      </w:r>
    </w:p>
    <w:p>
      <w:pPr>
        <w:widowControl/>
        <w:spacing w:line="580" w:lineRule="exact"/>
        <w:jc w:val="left"/>
        <w:rPr>
          <w:rFonts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</w:rPr>
    </w:pP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  \* MERGEFORMAT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7 -</w:t>
    </w:r>
    <w:r>
      <w:rPr>
        <w:rFonts w:ascii="仿宋_GB2312" w:eastAsia="仿宋_GB2312"/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  \* MERGEFORMAT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6 -</w:t>
    </w:r>
    <w:r>
      <w:rPr>
        <w:rFonts w:ascii="仿宋_GB2312" w:eastAsia="仿宋_GB2312"/>
        <w:sz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46400A"/>
    <w:rsid w:val="00016BF5"/>
    <w:rsid w:val="00043E32"/>
    <w:rsid w:val="00052EAA"/>
    <w:rsid w:val="0008444F"/>
    <w:rsid w:val="0009006B"/>
    <w:rsid w:val="000A45CF"/>
    <w:rsid w:val="000B2A48"/>
    <w:rsid w:val="000C4224"/>
    <w:rsid w:val="00104A75"/>
    <w:rsid w:val="00152C33"/>
    <w:rsid w:val="001674D3"/>
    <w:rsid w:val="0017007A"/>
    <w:rsid w:val="00185D29"/>
    <w:rsid w:val="001A7D73"/>
    <w:rsid w:val="001B0614"/>
    <w:rsid w:val="001E7687"/>
    <w:rsid w:val="002063A1"/>
    <w:rsid w:val="002219A8"/>
    <w:rsid w:val="002B47DE"/>
    <w:rsid w:val="002F455D"/>
    <w:rsid w:val="00316076"/>
    <w:rsid w:val="00322D4F"/>
    <w:rsid w:val="00354E6A"/>
    <w:rsid w:val="00373E29"/>
    <w:rsid w:val="00383421"/>
    <w:rsid w:val="003A6F71"/>
    <w:rsid w:val="003B3BB3"/>
    <w:rsid w:val="003C015C"/>
    <w:rsid w:val="003E1338"/>
    <w:rsid w:val="003E1A9F"/>
    <w:rsid w:val="003F61DE"/>
    <w:rsid w:val="0043034A"/>
    <w:rsid w:val="00437F8A"/>
    <w:rsid w:val="00442D5C"/>
    <w:rsid w:val="0045324D"/>
    <w:rsid w:val="0046125C"/>
    <w:rsid w:val="004928E5"/>
    <w:rsid w:val="00492A0B"/>
    <w:rsid w:val="004B160B"/>
    <w:rsid w:val="005056C8"/>
    <w:rsid w:val="005276DB"/>
    <w:rsid w:val="005405F6"/>
    <w:rsid w:val="00542FB0"/>
    <w:rsid w:val="00543B15"/>
    <w:rsid w:val="00563F5E"/>
    <w:rsid w:val="0059010A"/>
    <w:rsid w:val="005909FE"/>
    <w:rsid w:val="00592626"/>
    <w:rsid w:val="00594B98"/>
    <w:rsid w:val="005979EB"/>
    <w:rsid w:val="005A3272"/>
    <w:rsid w:val="005D263A"/>
    <w:rsid w:val="005D498C"/>
    <w:rsid w:val="00600723"/>
    <w:rsid w:val="0061284F"/>
    <w:rsid w:val="00614AAA"/>
    <w:rsid w:val="006232B5"/>
    <w:rsid w:val="006348ED"/>
    <w:rsid w:val="00637086"/>
    <w:rsid w:val="006448AA"/>
    <w:rsid w:val="0065368F"/>
    <w:rsid w:val="006548ED"/>
    <w:rsid w:val="0065501F"/>
    <w:rsid w:val="00665AD8"/>
    <w:rsid w:val="00672557"/>
    <w:rsid w:val="00681FE4"/>
    <w:rsid w:val="006B2787"/>
    <w:rsid w:val="006C3C71"/>
    <w:rsid w:val="006C4DD3"/>
    <w:rsid w:val="006E3212"/>
    <w:rsid w:val="0070793D"/>
    <w:rsid w:val="00707E68"/>
    <w:rsid w:val="00711008"/>
    <w:rsid w:val="00717ED7"/>
    <w:rsid w:val="00725917"/>
    <w:rsid w:val="00756720"/>
    <w:rsid w:val="00790736"/>
    <w:rsid w:val="007B4F45"/>
    <w:rsid w:val="007F0DAD"/>
    <w:rsid w:val="007F10C9"/>
    <w:rsid w:val="007F2E8F"/>
    <w:rsid w:val="00804D3C"/>
    <w:rsid w:val="0081589D"/>
    <w:rsid w:val="00821C2B"/>
    <w:rsid w:val="0083606F"/>
    <w:rsid w:val="00855200"/>
    <w:rsid w:val="008844E7"/>
    <w:rsid w:val="008D7D26"/>
    <w:rsid w:val="008E47BD"/>
    <w:rsid w:val="009055BC"/>
    <w:rsid w:val="0093137D"/>
    <w:rsid w:val="009814F1"/>
    <w:rsid w:val="0098702B"/>
    <w:rsid w:val="009B5FAC"/>
    <w:rsid w:val="009B64D6"/>
    <w:rsid w:val="009E401A"/>
    <w:rsid w:val="00A330CA"/>
    <w:rsid w:val="00A41B63"/>
    <w:rsid w:val="00A527DD"/>
    <w:rsid w:val="00A54044"/>
    <w:rsid w:val="00A7677B"/>
    <w:rsid w:val="00A85813"/>
    <w:rsid w:val="00A91F9F"/>
    <w:rsid w:val="00B00708"/>
    <w:rsid w:val="00B502D7"/>
    <w:rsid w:val="00B63336"/>
    <w:rsid w:val="00BD2C12"/>
    <w:rsid w:val="00BD37DC"/>
    <w:rsid w:val="00BD3A31"/>
    <w:rsid w:val="00BE7B71"/>
    <w:rsid w:val="00BF242D"/>
    <w:rsid w:val="00C041F0"/>
    <w:rsid w:val="00C467D7"/>
    <w:rsid w:val="00C716CA"/>
    <w:rsid w:val="00C77DE1"/>
    <w:rsid w:val="00CA30E1"/>
    <w:rsid w:val="00CC0E60"/>
    <w:rsid w:val="00CE230C"/>
    <w:rsid w:val="00CE3A3A"/>
    <w:rsid w:val="00CE54B3"/>
    <w:rsid w:val="00D06A88"/>
    <w:rsid w:val="00D35626"/>
    <w:rsid w:val="00D36FCB"/>
    <w:rsid w:val="00D519DB"/>
    <w:rsid w:val="00D7702E"/>
    <w:rsid w:val="00D77B4F"/>
    <w:rsid w:val="00D80A11"/>
    <w:rsid w:val="00D852DC"/>
    <w:rsid w:val="00D97EDA"/>
    <w:rsid w:val="00DB3048"/>
    <w:rsid w:val="00E25C02"/>
    <w:rsid w:val="00E57C9A"/>
    <w:rsid w:val="00E71FFB"/>
    <w:rsid w:val="00E85F52"/>
    <w:rsid w:val="00EC7F26"/>
    <w:rsid w:val="00F11223"/>
    <w:rsid w:val="00F14FC8"/>
    <w:rsid w:val="00F21AA0"/>
    <w:rsid w:val="00F36409"/>
    <w:rsid w:val="00F40E73"/>
    <w:rsid w:val="00F6364E"/>
    <w:rsid w:val="00F91613"/>
    <w:rsid w:val="00FA024C"/>
    <w:rsid w:val="00FB6816"/>
    <w:rsid w:val="00FC1413"/>
    <w:rsid w:val="00FD60E0"/>
    <w:rsid w:val="00FE178D"/>
    <w:rsid w:val="00FE7175"/>
    <w:rsid w:val="00FF413F"/>
    <w:rsid w:val="1C4A0993"/>
    <w:rsid w:val="1F46400A"/>
    <w:rsid w:val="34BF293D"/>
    <w:rsid w:val="53C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页眉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494</Words>
  <Characters>2818</Characters>
  <Lines>23</Lines>
  <Paragraphs>6</Paragraphs>
  <TotalTime>510</TotalTime>
  <ScaleCrop>false</ScaleCrop>
  <LinksUpToDate>false</LinksUpToDate>
  <CharactersWithSpaces>3306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2020-01-13T02:55:00Z</dcterms:created>
  <dc:creator>Administrator</dc:creator>
  <cp:lastModifiedBy>Administrator</cp:lastModifiedBy>
  <cp:lastPrinted>2021-01-15T02:03:00Z</cp:lastPrinted>
  <dcterms:modified xsi:type="dcterms:W3CDTF">2021-04-02T02:37:37Z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