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5F" w:rsidRDefault="0045785F" w:rsidP="0045785F">
      <w:pPr>
        <w:pStyle w:val="a5"/>
        <w:snapToGrid w:val="0"/>
        <w:spacing w:after="0" w:line="500" w:lineRule="exact"/>
        <w:ind w:left="0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:rsidR="0045785F" w:rsidRDefault="0045785F" w:rsidP="0045785F">
      <w:pPr>
        <w:pStyle w:val="a5"/>
        <w:snapToGrid w:val="0"/>
        <w:spacing w:after="0" w:line="500" w:lineRule="exact"/>
        <w:ind w:left="0"/>
        <w:rPr>
          <w:rFonts w:ascii="黑体" w:eastAsia="黑体" w:hAnsi="黑体" w:hint="eastAsia"/>
          <w:bCs/>
          <w:kern w:val="0"/>
          <w:sz w:val="28"/>
          <w:szCs w:val="28"/>
        </w:rPr>
      </w:pPr>
    </w:p>
    <w:p w:rsidR="0045785F" w:rsidRDefault="0045785F" w:rsidP="0045785F">
      <w:pPr>
        <w:pStyle w:val="a5"/>
        <w:snapToGrid w:val="0"/>
        <w:spacing w:after="0" w:line="500" w:lineRule="exact"/>
        <w:ind w:left="0"/>
        <w:jc w:val="center"/>
        <w:rPr>
          <w:rFonts w:ascii="方正小标宋简体" w:eastAsia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浙江省渔业健康养殖示范县创建评分表</w:t>
      </w:r>
    </w:p>
    <w:p w:rsidR="0045785F" w:rsidRDefault="0045785F" w:rsidP="0045785F">
      <w:pPr>
        <w:pStyle w:val="a5"/>
        <w:snapToGrid w:val="0"/>
        <w:spacing w:after="0" w:line="500" w:lineRule="exact"/>
        <w:ind w:left="0"/>
        <w:rPr>
          <w:rFonts w:ascii="黑体" w:eastAsia="黑体" w:hAnsi="黑体" w:hint="eastAsia"/>
          <w:bCs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582"/>
        <w:gridCol w:w="1842"/>
        <w:gridCol w:w="3388"/>
        <w:gridCol w:w="667"/>
        <w:gridCol w:w="1050"/>
        <w:gridCol w:w="647"/>
      </w:tblGrid>
      <w:tr w:rsidR="0045785F" w:rsidTr="007D3250">
        <w:trPr>
          <w:trHeight w:val="510"/>
          <w:jc w:val="center"/>
        </w:trPr>
        <w:tc>
          <w:tcPr>
            <w:tcW w:w="1769" w:type="dxa"/>
            <w:gridSpan w:val="2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县名</w:t>
            </w:r>
          </w:p>
        </w:tc>
        <w:tc>
          <w:tcPr>
            <w:tcW w:w="7594" w:type="dxa"/>
            <w:gridSpan w:val="5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10"/>
          <w:jc w:val="center"/>
        </w:trPr>
        <w:tc>
          <w:tcPr>
            <w:tcW w:w="9363" w:type="dxa"/>
            <w:gridSpan w:val="7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一票否决项</w:t>
            </w:r>
          </w:p>
        </w:tc>
      </w:tr>
      <w:tr w:rsidR="0045785F" w:rsidTr="007D3250">
        <w:trPr>
          <w:trHeight w:val="510"/>
          <w:jc w:val="center"/>
        </w:trPr>
        <w:tc>
          <w:tcPr>
            <w:tcW w:w="6999" w:type="dxa"/>
            <w:gridSpan w:val="4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禁养区无水产养殖行为，限养区养殖行为符合限养区要求</w:t>
            </w:r>
          </w:p>
        </w:tc>
        <w:tc>
          <w:tcPr>
            <w:tcW w:w="2364" w:type="dxa"/>
            <w:gridSpan w:val="3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10"/>
          <w:jc w:val="center"/>
        </w:trPr>
        <w:tc>
          <w:tcPr>
            <w:tcW w:w="6999" w:type="dxa"/>
            <w:gridSpan w:val="4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各级养殖水产品抽检合格率</w:t>
            </w:r>
            <w:r>
              <w:rPr>
                <w:rFonts w:ascii="宋体" w:hAnsi="宋体"/>
                <w:kern w:val="0"/>
                <w:sz w:val="20"/>
                <w:szCs w:val="20"/>
              </w:rPr>
              <w:t>98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（含）以上</w:t>
            </w:r>
          </w:p>
        </w:tc>
        <w:tc>
          <w:tcPr>
            <w:tcW w:w="2364" w:type="dxa"/>
            <w:gridSpan w:val="3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10"/>
          <w:jc w:val="center"/>
        </w:trPr>
        <w:tc>
          <w:tcPr>
            <w:tcW w:w="6999" w:type="dxa"/>
            <w:gridSpan w:val="4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</w:t>
            </w:r>
            <w:r>
              <w:rPr>
                <w:rFonts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部水产健康养殖示范场</w:t>
            </w: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家（含）以上</w:t>
            </w:r>
          </w:p>
        </w:tc>
        <w:tc>
          <w:tcPr>
            <w:tcW w:w="2364" w:type="dxa"/>
            <w:gridSpan w:val="3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10"/>
          <w:jc w:val="center"/>
        </w:trPr>
        <w:tc>
          <w:tcPr>
            <w:tcW w:w="6999" w:type="dxa"/>
            <w:gridSpan w:val="4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规模以上海淡水池塘养殖场实现养殖尾水零直排</w:t>
            </w:r>
          </w:p>
        </w:tc>
        <w:tc>
          <w:tcPr>
            <w:tcW w:w="2364" w:type="dxa"/>
            <w:gridSpan w:val="3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10"/>
          <w:jc w:val="center"/>
        </w:trPr>
        <w:tc>
          <w:tcPr>
            <w:tcW w:w="9363" w:type="dxa"/>
            <w:gridSpan w:val="7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如无一票否决项填写以下评分项</w:t>
            </w:r>
          </w:p>
        </w:tc>
      </w:tr>
      <w:tr w:rsidR="0045785F" w:rsidTr="007D3250">
        <w:trPr>
          <w:trHeight w:val="510"/>
          <w:jc w:val="center"/>
        </w:trPr>
        <w:tc>
          <w:tcPr>
            <w:tcW w:w="118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24" w:type="dxa"/>
            <w:gridSpan w:val="2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88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66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评分方法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政府高度重视（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成立领导小组，纳入政府重点工作，写入年度政府工作报告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成立工作领导小组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分，纳入政府重点工作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分，写入年度政府工作报告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政府出台水产养殖绿色发展实施意见，因地制宜，明确工作重点和方向，推进措施有力，各职能部门职责清晰并出台扶持政策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县政府出台水产养殖绿色发展文件得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分，部门分工明确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分，县级财政出台绿色发展扶持政策得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制定并实施渔业健康养殖示范创建工作方案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视方案完整性、科学性酌情得分。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县财政投入资金占农业资金的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视投入比例酌情得分。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系统全面开展养殖主体培训，提升养殖主体绿色生产的意识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制定提升业主竞争力和环境保护等培训计划，明确培训内容并实施。酌情得分。无计划不得分。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空间有序拓展（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实施养殖水域滩涂规划。落实养殖水域滩涂规划有关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三区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监管措施。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对照实施的养殖水域滩涂规划，提交规划落地和监管工作小结。根据规划落地实施情况，酌情得分。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台账结合现场抽查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调减近岸港湾小网箱，拓展深水网箱；内陆引导发展种养结合（各类共生、轮作）模式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7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制定并由政府发布实施调减传统网箱或推广综合种养工作方案得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分，无方案不得分；深水网箱只数比创建前一年增加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的，得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不到的酌情扣分。内陆综合种养新增面积比创建前一年增加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分，不到的酌情扣分。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台账、抽查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45785F" w:rsidRDefault="0045785F" w:rsidP="0045785F">
      <w: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424"/>
        <w:gridCol w:w="3388"/>
        <w:gridCol w:w="667"/>
        <w:gridCol w:w="1050"/>
        <w:gridCol w:w="647"/>
      </w:tblGrid>
      <w:tr w:rsidR="0045785F" w:rsidTr="007D3250">
        <w:trPr>
          <w:trHeight w:val="567"/>
          <w:jc w:val="center"/>
        </w:trPr>
        <w:tc>
          <w:tcPr>
            <w:tcW w:w="118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一级指标</w:t>
            </w:r>
          </w:p>
        </w:tc>
        <w:tc>
          <w:tcPr>
            <w:tcW w:w="2424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88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66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评分方法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空间有序拓展（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沿海引导发展贝藻养殖；内陆在饮用水源等开放性水域等禁养区全面实施保水渔业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沿海实际贝藻养殖面积占浅海规划的比例比创建前提高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％的，得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分，增加</w:t>
            </w:r>
            <w:r>
              <w:rPr>
                <w:rFonts w:ascii="宋体" w:hAnsi="宋体"/>
                <w:spacing w:val="-6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，得</w:t>
            </w:r>
            <w:r>
              <w:rPr>
                <w:rFonts w:ascii="宋体" w:hAnsi="宋体"/>
                <w:spacing w:val="-6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分，增加</w:t>
            </w:r>
            <w:r>
              <w:rPr>
                <w:rFonts w:ascii="宋体" w:hAnsi="宋体"/>
                <w:spacing w:val="-6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下的，不得分。内陆及山区开放性水域保水渔业、资源增殖放流全面实施。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沿海现场，</w:t>
            </w:r>
            <w:r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内陆台账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依法开展新建苗种场和水产养殖项目环境影响评价工作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交相关环境评价台账，无新建的，得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满分。每少一个，扣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分，扣完为止。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开展池塘循环水或工业化循环水养殖试点</w:t>
            </w: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个（含）以上。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现场检查，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个点得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台账、抽查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水产养殖设施化率达到</w:t>
            </w:r>
            <w:r>
              <w:rPr>
                <w:rFonts w:ascii="宋体" w:hAnsi="宋体"/>
                <w:spacing w:val="-1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pacing w:val="-10"/>
                <w:kern w:val="0"/>
                <w:sz w:val="20"/>
                <w:szCs w:val="20"/>
              </w:rPr>
              <w:t>％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参照农业现代评价有关水产养殖评价办法，每低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个百分点扣</w:t>
            </w:r>
            <w:r>
              <w:rPr>
                <w:rFonts w:ascii="宋体" w:hAnsi="宋体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台账、抽查和评估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种业规范发展（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严格苗种生产许可管理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全部苗种生产主体（不含自繁自育）持证生产得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分，每少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家，扣</w:t>
            </w:r>
            <w:r>
              <w:rPr>
                <w:rFonts w:ascii="宋体" w:hAnsi="宋体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分，扣完为止。规范发证满分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分，随机抽查发证档案，酌情赋分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台账、抽检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开展苗种生产抽检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检查抽检记录。如有甲壳类育苗，现场检查。如有一家苗种场有储藏或使用违禁要求，扣完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台账、抽查两家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开展水产苗种许可和质量安全执法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检查台账，酌情赋分。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水产苗种产地检疫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启动水产苗种产地检疫；水产苗种检疫阳性苗种依法处理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水产良种化率</w:t>
            </w:r>
            <w:r>
              <w:rPr>
                <w:rFonts w:ascii="宋体" w:hAnsi="宋体"/>
                <w:kern w:val="0"/>
                <w:sz w:val="20"/>
                <w:szCs w:val="20"/>
              </w:rPr>
              <w:t>60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按照部令和省规定，抽查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家养殖企业。检查标准是苗种场亲本来自良种场或原种，酌情赋分。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生产管理规范（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建立养殖主体数据库，基本实现产品可追溯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以养殖规划中已养面积为基准，建立</w:t>
            </w: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亩以上养殖主体信息库，纳入省级农产品质量安全追溯平台管理，各类型养殖面积与主体累计面积误差率控制在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以内。误差到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以上，扣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分，误差在</w:t>
            </w: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以上的，扣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分。追溯管理达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％以上的得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分，每下降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百分点，扣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考评组核定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主要养殖品种依标生产，制度上墙，并实施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随机抽查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家以上规模养殖企业，酌情得、扣分。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养殖主体三项记录完整、规范，合作社及企业保留记录两年以上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随机抽查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家以上规模养殖企业、合作社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年内记录。酌情得、扣分。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67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兽药经营许可证核发率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视情况酌情得分。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45785F" w:rsidRDefault="0045785F" w:rsidP="0045785F">
      <w: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424"/>
        <w:gridCol w:w="3388"/>
        <w:gridCol w:w="667"/>
        <w:gridCol w:w="1050"/>
        <w:gridCol w:w="647"/>
      </w:tblGrid>
      <w:tr w:rsidR="0045785F" w:rsidTr="007D3250">
        <w:trPr>
          <w:trHeight w:val="539"/>
          <w:jc w:val="center"/>
        </w:trPr>
        <w:tc>
          <w:tcPr>
            <w:tcW w:w="118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一级指标</w:t>
            </w:r>
          </w:p>
        </w:tc>
        <w:tc>
          <w:tcPr>
            <w:tcW w:w="2424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88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66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评分方法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生产管理规范（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养殖场投入品使用规范，不使用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三无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投入品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随机检查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家养殖主体。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养殖主体配置水质检测设备并开展定期检测或委托检测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随机抽查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家以上养殖主体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年内检测设备、记录或报告。酌情得、扣分。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推行乡村兽医并开展服务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乡村兽医备案工作规范并开展服务。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开展水产品合格证管理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家可追溯试点企业。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依法开展渔业水域监测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检查完成省渔业水域监测任务或自行安排渔业水域监测。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产品质量安全（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无重大水产品质量安全事故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有重大安全事故报道不得分。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创建农产品质量放心县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获得称号的，得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分，创建中得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分，没有提出创建申请的不得分。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前两年县级以上产地、产品抽检任务。并制定实施本级质量安全抽检任务。产地实施随机抽检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有近两年省市县水产品产地、产品抽检台账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分。本级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年有质量安全抽检计划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分，建立随机抽样机制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养殖产品质量安全抽检合格率</w:t>
            </w:r>
            <w:r>
              <w:rPr>
                <w:rFonts w:ascii="宋体" w:hAnsi="宋体"/>
                <w:kern w:val="0"/>
                <w:sz w:val="20"/>
                <w:szCs w:val="20"/>
              </w:rPr>
              <w:t>98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视情况酌情得分。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开展水产养殖渔药兽药减量使用行动，启动鱼类疫苗使用并取得一定成效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主管局印发渔药减量实施方案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分，建立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个以上试点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阳性查处率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查阅两年之内抽检、执法档案，酌情得、分扣分。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 w:val="restart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水产养殖绿色发展成效显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著，获省、部领导批示表扬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健康示范场创建、养殖尾水治理运行机制、禁养区限养区管控、涉及乡村振兴、生态文明创建相关工作得到省、部领导批示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台账</w:t>
            </w:r>
          </w:p>
        </w:tc>
        <w:tc>
          <w:tcPr>
            <w:tcW w:w="64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沿海港湾传统网箱调减实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质性启动，并取得显著效果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视工作进展和成效赋分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45785F" w:rsidTr="007D3250">
        <w:trPr>
          <w:trHeight w:val="539"/>
          <w:jc w:val="center"/>
        </w:trPr>
        <w:tc>
          <w:tcPr>
            <w:tcW w:w="1187" w:type="dxa"/>
            <w:vMerge/>
            <w:vAlign w:val="center"/>
          </w:tcPr>
          <w:p w:rsidR="0045785F" w:rsidRDefault="0045785F" w:rsidP="007D3250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浅海养殖泡沫浮子替代</w:t>
            </w:r>
          </w:p>
        </w:tc>
        <w:tc>
          <w:tcPr>
            <w:tcW w:w="3388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视工作进展和成效赋分</w:t>
            </w:r>
          </w:p>
        </w:tc>
        <w:tc>
          <w:tcPr>
            <w:tcW w:w="667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45785F" w:rsidRDefault="0045785F" w:rsidP="007D325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台账、现场</w:t>
            </w:r>
          </w:p>
        </w:tc>
        <w:tc>
          <w:tcPr>
            <w:tcW w:w="647" w:type="dxa"/>
            <w:noWrap/>
            <w:vAlign w:val="center"/>
          </w:tcPr>
          <w:p w:rsidR="0045785F" w:rsidRDefault="0045785F" w:rsidP="007D325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D64BFC" w:rsidRDefault="0045785F">
      <w:r>
        <w:rPr>
          <w:rFonts w:ascii="宋体" w:hAnsi="宋体" w:cs="宋体" w:hint="eastAsia"/>
          <w:b/>
          <w:kern w:val="0"/>
          <w:sz w:val="20"/>
          <w:szCs w:val="20"/>
        </w:rPr>
        <w:t>注：</w:t>
      </w:r>
      <w:r>
        <w:rPr>
          <w:rFonts w:ascii="宋体" w:hAnsi="宋体" w:cs="宋体" w:hint="eastAsia"/>
          <w:kern w:val="0"/>
          <w:sz w:val="20"/>
          <w:szCs w:val="20"/>
        </w:rPr>
        <w:t>1．80分（含）以上为合格。2．创建县无此项打分内容的，赋单项满分。</w:t>
      </w:r>
    </w:p>
    <w:sectPr w:rsidR="00D64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FC" w:rsidRDefault="00D64BFC" w:rsidP="0045785F">
      <w:r>
        <w:separator/>
      </w:r>
    </w:p>
  </w:endnote>
  <w:endnote w:type="continuationSeparator" w:id="1">
    <w:p w:rsidR="00D64BFC" w:rsidRDefault="00D64BFC" w:rsidP="0045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FC" w:rsidRDefault="00D64BFC" w:rsidP="0045785F">
      <w:r>
        <w:separator/>
      </w:r>
    </w:p>
  </w:footnote>
  <w:footnote w:type="continuationSeparator" w:id="1">
    <w:p w:rsidR="00D64BFC" w:rsidRDefault="00D64BFC" w:rsidP="00457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85F"/>
    <w:rsid w:val="0045785F"/>
    <w:rsid w:val="00D6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85F"/>
    <w:rPr>
      <w:sz w:val="18"/>
      <w:szCs w:val="18"/>
    </w:rPr>
  </w:style>
  <w:style w:type="paragraph" w:styleId="a5">
    <w:name w:val="Body Text Indent"/>
    <w:basedOn w:val="a"/>
    <w:link w:val="Char1"/>
    <w:qFormat/>
    <w:rsid w:val="0045785F"/>
    <w:pPr>
      <w:spacing w:after="120"/>
      <w:ind w:left="420"/>
    </w:pPr>
  </w:style>
  <w:style w:type="character" w:customStyle="1" w:styleId="Char1">
    <w:name w:val="正文文本缩进 Char"/>
    <w:basedOn w:val="a0"/>
    <w:link w:val="a5"/>
    <w:rsid w:val="0045785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2021-03-16T02:45:00Z</dcterms:created>
  <dcterms:modified xsi:type="dcterms:W3CDTF">2021-03-16T02:45:00Z</dcterms:modified>
</cp:coreProperties>
</file>