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344" w:rsidRPr="00CD38D3" w:rsidRDefault="00641393" w:rsidP="00710149">
      <w:pPr>
        <w:ind w:firstLineChars="100" w:firstLine="360"/>
        <w:rPr>
          <w:rFonts w:ascii="方正小标宋简体" w:eastAsia="方正小标宋简体"/>
          <w:sz w:val="36"/>
          <w:szCs w:val="36"/>
        </w:rPr>
      </w:pPr>
      <w:r w:rsidRPr="00CD38D3">
        <w:rPr>
          <w:rFonts w:ascii="方正小标宋简体" w:eastAsia="方正小标宋简体" w:hint="eastAsia"/>
          <w:sz w:val="36"/>
          <w:szCs w:val="36"/>
        </w:rPr>
        <w:t>宁海县气象局</w:t>
      </w:r>
      <w:r w:rsidR="00C6441B">
        <w:rPr>
          <w:rFonts w:ascii="方正小标宋简体" w:eastAsia="方正小标宋简体" w:hint="eastAsia"/>
          <w:sz w:val="36"/>
          <w:szCs w:val="36"/>
        </w:rPr>
        <w:t>202</w:t>
      </w:r>
      <w:r w:rsidR="00E33D6C">
        <w:rPr>
          <w:rFonts w:ascii="方正小标宋简体" w:eastAsia="方正小标宋简体" w:hint="eastAsia"/>
          <w:sz w:val="36"/>
          <w:szCs w:val="36"/>
        </w:rPr>
        <w:t>1</w:t>
      </w:r>
      <w:r w:rsidRPr="00CD38D3">
        <w:rPr>
          <w:rFonts w:ascii="方正小标宋简体" w:eastAsia="方正小标宋简体" w:hint="eastAsia"/>
          <w:sz w:val="36"/>
          <w:szCs w:val="36"/>
        </w:rPr>
        <w:t>年政府信息公开工作年度报告</w:t>
      </w:r>
    </w:p>
    <w:p w:rsidR="009762CF" w:rsidRDefault="009762CF" w:rsidP="00AB732E">
      <w:pPr>
        <w:spacing w:beforeLines="50" w:before="156" w:afterLines="50" w:after="156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A25C4B">
        <w:rPr>
          <w:rFonts w:ascii="仿宋_GB2312" w:eastAsia="仿宋_GB2312" w:hAnsiTheme="minorEastAsia" w:hint="eastAsia"/>
          <w:sz w:val="32"/>
          <w:szCs w:val="32"/>
        </w:rPr>
        <w:t>本年报根据《中华人民共和国政府信息公开条例》以及</w:t>
      </w:r>
      <w:r w:rsidRPr="00A25C4B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《宁海县人民政府办公室关于印发202</w:t>
      </w:r>
      <w:r w:rsidR="00C64BE7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1</w:t>
      </w:r>
      <w:r w:rsidRPr="00A25C4B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年宁海县政务公开工作要点的通知》（宁政办发〔202</w:t>
      </w:r>
      <w:r w:rsidR="00C64BE7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1</w:t>
      </w:r>
      <w:r w:rsidRPr="00A25C4B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〕</w:t>
      </w:r>
      <w:r w:rsidR="00C64BE7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21</w:t>
      </w:r>
      <w:r w:rsidRPr="00A25C4B">
        <w:rPr>
          <w:rFonts w:ascii="仿宋_GB2312" w:eastAsia="仿宋_GB2312" w:hAnsiTheme="minorEastAsia" w:cs="仿宋_GB2312" w:hint="eastAsia"/>
          <w:color w:val="3D3D3D"/>
          <w:sz w:val="32"/>
          <w:szCs w:val="32"/>
          <w:shd w:val="clear" w:color="auto" w:fill="FFFFFF"/>
        </w:rPr>
        <w:t>号）的要求，</w:t>
      </w:r>
      <w:r w:rsidRPr="00A25C4B">
        <w:rPr>
          <w:rFonts w:ascii="仿宋_GB2312" w:eastAsia="仿宋_GB2312" w:hAnsiTheme="minorEastAsia" w:hint="eastAsia"/>
          <w:sz w:val="32"/>
          <w:szCs w:val="32"/>
        </w:rPr>
        <w:t>按照202</w:t>
      </w:r>
      <w:r w:rsidR="00C64BE7">
        <w:rPr>
          <w:rFonts w:ascii="仿宋_GB2312" w:eastAsia="仿宋_GB2312" w:hAnsiTheme="minorEastAsia" w:hint="eastAsia"/>
          <w:sz w:val="32"/>
          <w:szCs w:val="32"/>
        </w:rPr>
        <w:t>1</w:t>
      </w:r>
      <w:r w:rsidRPr="00A25C4B">
        <w:rPr>
          <w:rFonts w:ascii="仿宋_GB2312" w:eastAsia="仿宋_GB2312" w:hAnsiTheme="minorEastAsia" w:hint="eastAsia"/>
          <w:sz w:val="32"/>
          <w:szCs w:val="32"/>
        </w:rPr>
        <w:t>年宁海县气象局政府信息公开工作实际编制而成。年度报告主要由总体情况、主动公开政府信息情况、收到和处理政府信息公开申请情况、政府信息公开行政复议行政诉讼的情况、存在的主要问题及改进情况、其他需要报告的事项等六个部分组成，并附相关统计数据。本年报中所列数据统计时限为202</w:t>
      </w:r>
      <w:r w:rsidR="00C64BE7">
        <w:rPr>
          <w:rFonts w:ascii="仿宋_GB2312" w:eastAsia="仿宋_GB2312" w:hAnsiTheme="minorEastAsia" w:hint="eastAsia"/>
          <w:sz w:val="32"/>
          <w:szCs w:val="32"/>
        </w:rPr>
        <w:t>1</w:t>
      </w:r>
      <w:r w:rsidRPr="00A25C4B">
        <w:rPr>
          <w:rFonts w:ascii="仿宋_GB2312" w:eastAsia="仿宋_GB2312" w:hAnsiTheme="minorEastAsia" w:hint="eastAsia"/>
          <w:sz w:val="32"/>
          <w:szCs w:val="32"/>
        </w:rPr>
        <w:t>年1月1日至202</w:t>
      </w:r>
      <w:r w:rsidR="00C64BE7">
        <w:rPr>
          <w:rFonts w:ascii="仿宋_GB2312" w:eastAsia="仿宋_GB2312" w:hAnsiTheme="minorEastAsia" w:hint="eastAsia"/>
          <w:sz w:val="32"/>
          <w:szCs w:val="32"/>
        </w:rPr>
        <w:t>1</w:t>
      </w:r>
      <w:r w:rsidRPr="00A25C4B">
        <w:rPr>
          <w:rFonts w:ascii="仿宋_GB2312" w:eastAsia="仿宋_GB2312" w:hAnsiTheme="minorEastAsia" w:hint="eastAsia"/>
          <w:sz w:val="32"/>
          <w:szCs w:val="32"/>
        </w:rPr>
        <w:t>年12月31日。</w:t>
      </w:r>
    </w:p>
    <w:p w:rsidR="00AB732E" w:rsidRPr="00AB732E" w:rsidRDefault="00AB732E" w:rsidP="00AB732E">
      <w:pPr>
        <w:spacing w:beforeLines="50" w:before="156" w:afterLines="50" w:after="156"/>
        <w:ind w:firstLineChars="200" w:firstLine="640"/>
        <w:rPr>
          <w:rFonts w:ascii="黑体" w:eastAsia="黑体" w:hAnsiTheme="minorEastAsia"/>
          <w:sz w:val="32"/>
          <w:szCs w:val="32"/>
        </w:rPr>
      </w:pPr>
      <w:r w:rsidRPr="00AB732E">
        <w:rPr>
          <w:rFonts w:ascii="黑体" w:eastAsia="黑体" w:hAnsiTheme="minorEastAsia" w:hint="eastAsia"/>
          <w:sz w:val="32"/>
          <w:szCs w:val="32"/>
        </w:rPr>
        <w:t>一、总体情况</w:t>
      </w:r>
    </w:p>
    <w:p w:rsidR="00FB1166" w:rsidRDefault="00FB1166" w:rsidP="00FB1166">
      <w:pPr>
        <w:spacing w:beforeLines="50" w:before="156" w:afterLines="50" w:after="156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>
        <w:rPr>
          <w:rFonts w:ascii="仿宋_GB2312" w:eastAsia="仿宋_GB2312" w:hAnsiTheme="minorEastAsia" w:hint="eastAsia"/>
          <w:sz w:val="32"/>
          <w:szCs w:val="32"/>
        </w:rPr>
        <w:t>宁海县</w:t>
      </w:r>
      <w:r w:rsidRPr="00FB1166">
        <w:rPr>
          <w:rFonts w:ascii="仿宋_GB2312" w:eastAsia="仿宋_GB2312" w:hAnsiTheme="minorEastAsia" w:hint="eastAsia"/>
          <w:sz w:val="32"/>
          <w:szCs w:val="32"/>
        </w:rPr>
        <w:t>气象局高度重视政府信息公开工作，为了认真贯彻落实《中华人民共和国政府信息公开条例》及</w:t>
      </w:r>
      <w:r>
        <w:rPr>
          <w:rFonts w:ascii="仿宋_GB2312" w:eastAsia="仿宋_GB2312" w:hAnsiTheme="minorEastAsia" w:hint="eastAsia"/>
          <w:sz w:val="32"/>
          <w:szCs w:val="32"/>
        </w:rPr>
        <w:t>县</w:t>
      </w:r>
      <w:r w:rsidRPr="00FB1166">
        <w:rPr>
          <w:rFonts w:ascii="仿宋_GB2312" w:eastAsia="仿宋_GB2312" w:hAnsiTheme="minorEastAsia" w:hint="eastAsia"/>
          <w:sz w:val="32"/>
          <w:szCs w:val="32"/>
        </w:rPr>
        <w:t>政府关于政府信息公开的有关精神，制定了一系列措施：一是加强组织领导，落实责任。调整政府信息公开领导小组，按照职责分工，严格开展政务信息公开工作，分管领导进行审核把关。明确专人负责政府信息公开工作，及时查看网站内容，及时更新相关信息；二是在网上及时公布，方便公众查阅</w:t>
      </w:r>
      <w:r>
        <w:rPr>
          <w:rFonts w:ascii="仿宋_GB2312" w:eastAsia="仿宋_GB2312" w:hAnsiTheme="minorEastAsia" w:hint="eastAsia"/>
          <w:sz w:val="32"/>
          <w:szCs w:val="32"/>
        </w:rPr>
        <w:t>。</w:t>
      </w:r>
    </w:p>
    <w:p w:rsidR="00CA0D47" w:rsidRPr="00CA0D47" w:rsidRDefault="00CA0D47" w:rsidP="00CA0D47">
      <w:pPr>
        <w:pStyle w:val="a3"/>
        <w:shd w:val="clear" w:color="auto" w:fill="FFFFFF"/>
        <w:spacing w:beforeAutospacing="0" w:afterAutospacing="0" w:line="525" w:lineRule="atLeast"/>
        <w:ind w:firstLine="420"/>
        <w:jc w:val="both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（一）主动公开</w:t>
      </w:r>
    </w:p>
    <w:p w:rsidR="00FB1166" w:rsidRPr="00FB1166" w:rsidRDefault="00FB1166" w:rsidP="00FB1166">
      <w:pPr>
        <w:pStyle w:val="a3"/>
        <w:shd w:val="clear" w:color="auto" w:fill="FFFFFF"/>
        <w:spacing w:beforeAutospacing="0" w:afterAutospacing="0" w:line="525" w:lineRule="atLeast"/>
        <w:ind w:firstLine="600"/>
        <w:jc w:val="both"/>
        <w:rPr>
          <w:rFonts w:ascii="仿宋_GB2312" w:eastAsia="仿宋_GB2312"/>
          <w:sz w:val="32"/>
          <w:szCs w:val="32"/>
        </w:rPr>
      </w:pPr>
      <w:r w:rsidRPr="00FB1166">
        <w:rPr>
          <w:rFonts w:ascii="仿宋_GB2312" w:eastAsia="仿宋_GB2312" w:hint="eastAsia"/>
          <w:sz w:val="32"/>
          <w:szCs w:val="32"/>
        </w:rPr>
        <w:t>202</w:t>
      </w:r>
      <w:r>
        <w:rPr>
          <w:rFonts w:ascii="仿宋_GB2312" w:eastAsia="仿宋_GB2312" w:hint="eastAsia"/>
          <w:sz w:val="32"/>
          <w:szCs w:val="32"/>
        </w:rPr>
        <w:t>1</w:t>
      </w:r>
      <w:r w:rsidRPr="00FB1166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，宁海县</w:t>
      </w:r>
      <w:r w:rsidRPr="00FB1166">
        <w:rPr>
          <w:rFonts w:ascii="仿宋_GB2312" w:eastAsia="仿宋_GB2312" w:hint="eastAsia"/>
          <w:sz w:val="32"/>
          <w:szCs w:val="32"/>
        </w:rPr>
        <w:t>气象局通过</w:t>
      </w:r>
      <w:r>
        <w:rPr>
          <w:rFonts w:ascii="仿宋_GB2312" w:eastAsia="仿宋_GB2312" w:hint="eastAsia"/>
          <w:sz w:val="32"/>
          <w:szCs w:val="32"/>
        </w:rPr>
        <w:t>宁海县</w:t>
      </w:r>
      <w:r w:rsidRPr="00FB1166">
        <w:rPr>
          <w:rFonts w:ascii="仿宋_GB2312" w:eastAsia="仿宋_GB2312" w:hint="eastAsia"/>
          <w:sz w:val="32"/>
          <w:szCs w:val="32"/>
        </w:rPr>
        <w:t>政府信息公开门户网站主动公开工作动态等信息</w:t>
      </w:r>
      <w:r>
        <w:rPr>
          <w:rFonts w:ascii="仿宋_GB2312" w:eastAsia="仿宋_GB2312" w:hint="eastAsia"/>
          <w:sz w:val="32"/>
          <w:szCs w:val="32"/>
        </w:rPr>
        <w:t>107</w:t>
      </w:r>
      <w:r w:rsidRPr="00FB1166">
        <w:rPr>
          <w:rFonts w:ascii="仿宋_GB2312" w:eastAsia="仿宋_GB2312" w:hint="eastAsia"/>
          <w:sz w:val="32"/>
          <w:szCs w:val="32"/>
        </w:rPr>
        <w:t>条，利用官方微博、微信、</w:t>
      </w:r>
      <w:r w:rsidRPr="00FB1166">
        <w:rPr>
          <w:rFonts w:ascii="仿宋_GB2312" w:eastAsia="仿宋_GB2312" w:hint="eastAsia"/>
          <w:sz w:val="32"/>
          <w:szCs w:val="32"/>
        </w:rPr>
        <w:lastRenderedPageBreak/>
        <w:t>手机短信等适时发布气象信息，全年</w:t>
      </w:r>
      <w:proofErr w:type="gramStart"/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微信公众号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365</w:t>
      </w: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条，新</w:t>
      </w:r>
      <w:proofErr w:type="gramStart"/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浪微博</w:t>
      </w:r>
      <w:proofErr w:type="gramEnd"/>
      <w:r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2878</w:t>
      </w: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条。</w:t>
      </w:r>
      <w:r w:rsidRPr="00FB1166">
        <w:rPr>
          <w:rFonts w:ascii="仿宋_GB2312" w:eastAsia="仿宋_GB2312" w:hint="eastAsia"/>
          <w:sz w:val="32"/>
          <w:szCs w:val="32"/>
        </w:rPr>
        <w:t>其它公开方式：利用“3.23世界气象日”、安全生产月等活动契机，向社会发放气象法律法规资料、气象知识宣传册、防灾减灾知识等进行公开宣传。</w:t>
      </w:r>
    </w:p>
    <w:p w:rsidR="00CA0D47" w:rsidRPr="00CA0D47" w:rsidRDefault="00CA0D47" w:rsidP="00CA0D47">
      <w:pPr>
        <w:pStyle w:val="a3"/>
        <w:shd w:val="clear" w:color="auto" w:fill="FFFFFF"/>
        <w:spacing w:beforeAutospacing="0" w:afterAutospacing="0" w:line="525" w:lineRule="atLeast"/>
        <w:ind w:firstLine="420"/>
        <w:jc w:val="both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（二）依申请公开</w:t>
      </w:r>
    </w:p>
    <w:p w:rsidR="00CA0D47" w:rsidRPr="00CA0D47" w:rsidRDefault="00CA0D47" w:rsidP="00CA0D47">
      <w:pPr>
        <w:pStyle w:val="a3"/>
        <w:shd w:val="clear" w:color="auto" w:fill="FFFFFF"/>
        <w:spacing w:beforeAutospacing="0" w:afterAutospacing="0" w:line="525" w:lineRule="atLeast"/>
        <w:ind w:firstLine="660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202</w:t>
      </w:r>
      <w:r w:rsidR="003E1294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1</w:t>
      </w: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年，本单位未收到依申请公开件，无政府信息公开行政复议、行政诉讼情况。</w:t>
      </w:r>
    </w:p>
    <w:p w:rsidR="00CA0D47" w:rsidRPr="00CA0D47" w:rsidRDefault="00CA0D47" w:rsidP="00CA0D47">
      <w:pPr>
        <w:pStyle w:val="a3"/>
        <w:shd w:val="clear" w:color="auto" w:fill="FFFFFF"/>
        <w:spacing w:beforeAutospacing="0" w:afterAutospacing="0" w:line="525" w:lineRule="atLeast"/>
        <w:ind w:firstLine="420"/>
        <w:jc w:val="both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（三）政府信息管理</w:t>
      </w:r>
    </w:p>
    <w:p w:rsidR="009F3017" w:rsidRPr="009F3017" w:rsidRDefault="009F3017" w:rsidP="009F3017">
      <w:pPr>
        <w:spacing w:beforeLines="50" w:before="156" w:afterLines="50" w:after="156"/>
        <w:ind w:firstLineChars="200" w:firstLine="640"/>
        <w:rPr>
          <w:rFonts w:ascii="仿宋_GB2312" w:eastAsia="仿宋_GB2312" w:hAnsiTheme="minorEastAsia"/>
          <w:sz w:val="32"/>
          <w:szCs w:val="32"/>
        </w:rPr>
      </w:pPr>
      <w:r w:rsidRPr="009F3017">
        <w:rPr>
          <w:rFonts w:ascii="仿宋_GB2312" w:eastAsia="仿宋_GB2312" w:hAnsiTheme="minorEastAsia" w:hint="eastAsia"/>
          <w:sz w:val="32"/>
          <w:szCs w:val="32"/>
        </w:rPr>
        <w:t>建立健全政府信息公开审查机制和工作规程，制定公文时将信息公开作为审查内容。定期对政务公开工作进行梳理调度，对工作落实情况进行督促、检查，确保各项工作任务的贯彻落实。积极参加</w:t>
      </w:r>
      <w:r>
        <w:rPr>
          <w:rFonts w:ascii="仿宋_GB2312" w:eastAsia="仿宋_GB2312" w:hAnsiTheme="minorEastAsia" w:hint="eastAsia"/>
          <w:sz w:val="32"/>
          <w:szCs w:val="32"/>
        </w:rPr>
        <w:t>县</w:t>
      </w:r>
      <w:r w:rsidRPr="009F3017">
        <w:rPr>
          <w:rFonts w:ascii="仿宋_GB2312" w:eastAsia="仿宋_GB2312" w:hAnsiTheme="minorEastAsia" w:hint="eastAsia"/>
          <w:sz w:val="32"/>
          <w:szCs w:val="32"/>
        </w:rPr>
        <w:t>政府组织的政务公开业务培训和相关会议，提升业务能力。</w:t>
      </w:r>
    </w:p>
    <w:p w:rsidR="00CA0D47" w:rsidRPr="00CA0D47" w:rsidRDefault="00CA0D47" w:rsidP="00CA0D47">
      <w:pPr>
        <w:pStyle w:val="a3"/>
        <w:shd w:val="clear" w:color="auto" w:fill="FFFFFF"/>
        <w:spacing w:beforeAutospacing="0" w:afterAutospacing="0" w:line="525" w:lineRule="atLeast"/>
        <w:ind w:firstLine="420"/>
        <w:jc w:val="both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（四）平台建设</w:t>
      </w:r>
    </w:p>
    <w:p w:rsidR="00CA21BD" w:rsidRPr="00CA21BD" w:rsidRDefault="00C05D9F" w:rsidP="00C05D9F">
      <w:pPr>
        <w:widowControl/>
        <w:autoSpaceDE w:val="0"/>
        <w:spacing w:line="600" w:lineRule="exact"/>
        <w:ind w:firstLineChars="200" w:firstLine="640"/>
        <w:rPr>
          <w:rFonts w:ascii="仿宋_GB2312" w:eastAsia="仿宋_GB2312" w:hAnsi="微软雅黑" w:cs="仿宋_GB2312"/>
          <w:color w:val="333333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进一步</w:t>
      </w:r>
      <w:r w:rsidR="00CA21BD" w:rsidRPr="00CA21B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强化新媒体发布平台建设，拓宽公开渠道。充分利用</w:t>
      </w:r>
      <w:r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宁海</w:t>
      </w:r>
      <w:r w:rsidR="00CA21BD" w:rsidRPr="00CA21B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县人民政府网站、新浪政务微博、</w:t>
      </w:r>
      <w:proofErr w:type="gramStart"/>
      <w:r w:rsidR="00CA21BD" w:rsidRPr="00CA21B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政务微信等</w:t>
      </w:r>
      <w:proofErr w:type="gramEnd"/>
      <w:r w:rsidR="00CA21BD" w:rsidRPr="00CA21BD">
        <w:rPr>
          <w:rFonts w:ascii="仿宋_GB2312" w:eastAsia="仿宋_GB2312" w:hAnsi="微软雅黑" w:cs="仿宋_GB2312" w:hint="eastAsia"/>
          <w:color w:val="333333"/>
          <w:kern w:val="0"/>
          <w:sz w:val="32"/>
          <w:szCs w:val="32"/>
          <w:shd w:val="clear" w:color="auto" w:fill="FFFFFF"/>
        </w:rPr>
        <w:t>多个传播渠道，深入推进天气预报、预警等气象数据开放共享，打造形式多样、内容丰富的信息公开平台。</w:t>
      </w:r>
    </w:p>
    <w:p w:rsidR="00CA0D47" w:rsidRPr="00CA0D47" w:rsidRDefault="00CA0D47" w:rsidP="00CA0D47">
      <w:pPr>
        <w:pStyle w:val="a3"/>
        <w:shd w:val="clear" w:color="auto" w:fill="FFFFFF"/>
        <w:spacing w:beforeAutospacing="0" w:afterAutospacing="0" w:line="525" w:lineRule="atLeast"/>
        <w:ind w:firstLine="420"/>
        <w:jc w:val="both"/>
        <w:rPr>
          <w:rFonts w:ascii="仿宋_GB2312" w:eastAsia="仿宋_GB2312" w:hAnsi="微软雅黑" w:cs="微软雅黑"/>
          <w:color w:val="333333"/>
          <w:sz w:val="32"/>
          <w:szCs w:val="32"/>
        </w:rPr>
      </w:pPr>
      <w:r w:rsidRPr="00CA0D47">
        <w:rPr>
          <w:rFonts w:ascii="仿宋_GB2312" w:eastAsia="仿宋_GB2312" w:hAnsi="微软雅黑" w:cs="仿宋_GB2312" w:hint="eastAsia"/>
          <w:color w:val="333333"/>
          <w:sz w:val="32"/>
          <w:szCs w:val="32"/>
          <w:shd w:val="clear" w:color="auto" w:fill="FFFFFF"/>
        </w:rPr>
        <w:t>（五）监督保障</w:t>
      </w:r>
    </w:p>
    <w:p w:rsidR="00C05D9F" w:rsidRDefault="00C05D9F" w:rsidP="00C05D9F">
      <w:pPr>
        <w:widowControl/>
        <w:autoSpaceDE w:val="0"/>
        <w:spacing w:line="60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严格执行政府信息公开规定和制度，按照“谁主管、谁负责”的原则，畅通社会公众监督渠道，及时公开对社会公</w:t>
      </w:r>
      <w:r>
        <w:rPr>
          <w:rFonts w:ascii="仿宋_GB2312" w:eastAsia="仿宋_GB2312" w:hint="eastAsia"/>
          <w:sz w:val="32"/>
          <w:szCs w:val="32"/>
        </w:rPr>
        <w:lastRenderedPageBreak/>
        <w:t>众提出的监督意见回应，把政务公开和信息公开工作落到实处，全年未发生责任追究情况。</w:t>
      </w:r>
    </w:p>
    <w:p w:rsidR="00471484" w:rsidRDefault="00710149" w:rsidP="00AB732E">
      <w:pPr>
        <w:ind w:firstLineChars="200" w:firstLine="640"/>
        <w:rPr>
          <w:rFonts w:ascii="黑体" w:eastAsia="黑体" w:hAnsi="宋体" w:cs="宋体"/>
          <w:color w:val="333333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 </w:t>
      </w:r>
      <w:r w:rsidR="00471484" w:rsidRPr="00A25C4B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二、主动公开政府信息情况</w:t>
      </w:r>
    </w:p>
    <w:tbl>
      <w:tblPr>
        <w:tblW w:w="89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2605"/>
        <w:gridCol w:w="2268"/>
        <w:gridCol w:w="1984"/>
      </w:tblGrid>
      <w:tr w:rsidR="00E33D6C" w:rsidTr="00E33D6C">
        <w:tc>
          <w:tcPr>
            <w:tcW w:w="8931" w:type="dxa"/>
            <w:gridSpan w:val="4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第二十条第（一）项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2605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本年制发件数</w:t>
            </w:r>
          </w:p>
        </w:tc>
        <w:tc>
          <w:tcPr>
            <w:tcW w:w="2268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本年废止件数</w:t>
            </w:r>
          </w:p>
        </w:tc>
        <w:tc>
          <w:tcPr>
            <w:tcW w:w="198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现行有效件数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规章</w:t>
            </w:r>
          </w:p>
        </w:tc>
        <w:tc>
          <w:tcPr>
            <w:tcW w:w="2605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行政规范性文件</w:t>
            </w:r>
          </w:p>
        </w:tc>
        <w:tc>
          <w:tcPr>
            <w:tcW w:w="2605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2268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198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E33D6C">
        <w:tc>
          <w:tcPr>
            <w:tcW w:w="8931" w:type="dxa"/>
            <w:gridSpan w:val="4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第二十条第（五）项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本年处理决定数量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行政许可</w:t>
            </w:r>
          </w:p>
        </w:tc>
        <w:tc>
          <w:tcPr>
            <w:tcW w:w="6857" w:type="dxa"/>
            <w:gridSpan w:val="3"/>
            <w:vAlign w:val="center"/>
          </w:tcPr>
          <w:p w:rsidR="00E33D6C" w:rsidRPr="007446AE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 w:rsidRPr="007446AE">
              <w:rPr>
                <w:rFonts w:ascii="宋体" w:eastAsia="宋体" w:hAnsi="宋体" w:cs="宋体" w:hint="eastAsia"/>
                <w:sz w:val="20"/>
                <w:szCs w:val="20"/>
              </w:rPr>
              <w:t>31</w:t>
            </w:r>
          </w:p>
        </w:tc>
      </w:tr>
      <w:tr w:rsidR="00E33D6C" w:rsidTr="00E33D6C">
        <w:tc>
          <w:tcPr>
            <w:tcW w:w="8931" w:type="dxa"/>
            <w:gridSpan w:val="4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第二十条第（六）项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本年处理决定数量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行政处罚</w:t>
            </w:r>
          </w:p>
        </w:tc>
        <w:tc>
          <w:tcPr>
            <w:tcW w:w="6857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行政强制</w:t>
            </w:r>
          </w:p>
        </w:tc>
        <w:tc>
          <w:tcPr>
            <w:tcW w:w="6857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E33D6C">
        <w:tc>
          <w:tcPr>
            <w:tcW w:w="8931" w:type="dxa"/>
            <w:gridSpan w:val="4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第二十条第（八）项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信息内容</w:t>
            </w:r>
          </w:p>
        </w:tc>
        <w:tc>
          <w:tcPr>
            <w:tcW w:w="6857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本年收费金额（单位：万元）</w:t>
            </w:r>
          </w:p>
        </w:tc>
      </w:tr>
      <w:tr w:rsidR="00E33D6C" w:rsidTr="00E33D6C">
        <w:trPr>
          <w:trHeight w:val="567"/>
        </w:trPr>
        <w:tc>
          <w:tcPr>
            <w:tcW w:w="207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行政事业性收费</w:t>
            </w:r>
          </w:p>
        </w:tc>
        <w:tc>
          <w:tcPr>
            <w:tcW w:w="6857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E33D6C" w:rsidRDefault="00E33D6C" w:rsidP="00AB732E">
      <w:pPr>
        <w:widowControl/>
        <w:spacing w:after="240"/>
        <w:ind w:firstLine="420"/>
        <w:rPr>
          <w:rFonts w:ascii="黑体" w:eastAsia="黑体" w:hAnsi="宋体" w:cs="宋体"/>
          <w:color w:val="333333"/>
          <w:kern w:val="0"/>
          <w:sz w:val="32"/>
          <w:szCs w:val="32"/>
        </w:rPr>
      </w:pPr>
    </w:p>
    <w:p w:rsidR="00E33D6C" w:rsidRPr="00A25C4B" w:rsidRDefault="00E33D6C" w:rsidP="00E33D6C">
      <w:pPr>
        <w:widowControl/>
        <w:spacing w:after="240"/>
        <w:ind w:firstLine="420"/>
        <w:rPr>
          <w:rFonts w:ascii="黑体" w:eastAsia="黑体" w:hAnsi="宋体" w:cs="宋体"/>
          <w:kern w:val="0"/>
          <w:sz w:val="32"/>
          <w:szCs w:val="32"/>
        </w:rPr>
      </w:pPr>
      <w:r w:rsidRPr="00A25C4B">
        <w:rPr>
          <w:rFonts w:ascii="黑体" w:eastAsia="黑体" w:hAnsi="宋体" w:cs="宋体" w:hint="eastAsia"/>
          <w:color w:val="333333"/>
          <w:kern w:val="0"/>
          <w:sz w:val="32"/>
          <w:szCs w:val="32"/>
        </w:rPr>
        <w:t>三、收到和处理政府信息公开申请情况</w:t>
      </w:r>
    </w:p>
    <w:tbl>
      <w:tblPr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5"/>
        <w:gridCol w:w="1141"/>
        <w:gridCol w:w="2029"/>
        <w:gridCol w:w="839"/>
        <w:gridCol w:w="709"/>
        <w:gridCol w:w="709"/>
        <w:gridCol w:w="992"/>
        <w:gridCol w:w="814"/>
        <w:gridCol w:w="481"/>
        <w:gridCol w:w="630"/>
      </w:tblGrid>
      <w:tr w:rsidR="00E33D6C" w:rsidTr="009712AE">
        <w:tc>
          <w:tcPr>
            <w:tcW w:w="4225" w:type="dxa"/>
            <w:gridSpan w:val="3"/>
            <w:vMerge w:val="restart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（本列数据的勾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稽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关系为：第一项加第二项之和，等于第三项加第四项之和）</w:t>
            </w:r>
          </w:p>
        </w:tc>
        <w:tc>
          <w:tcPr>
            <w:tcW w:w="5174" w:type="dxa"/>
            <w:gridSpan w:val="7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申请人情况</w:t>
            </w:r>
          </w:p>
        </w:tc>
      </w:tr>
      <w:tr w:rsidR="00E33D6C" w:rsidTr="009712AE">
        <w:tc>
          <w:tcPr>
            <w:tcW w:w="4225" w:type="dxa"/>
            <w:gridSpan w:val="3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自然人</w:t>
            </w:r>
          </w:p>
        </w:tc>
        <w:tc>
          <w:tcPr>
            <w:tcW w:w="3705" w:type="dxa"/>
            <w:gridSpan w:val="5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法人或其他组织</w:t>
            </w:r>
          </w:p>
        </w:tc>
        <w:tc>
          <w:tcPr>
            <w:tcW w:w="630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E33D6C" w:rsidTr="009712AE">
        <w:tc>
          <w:tcPr>
            <w:tcW w:w="4225" w:type="dxa"/>
            <w:gridSpan w:val="3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839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商业企业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科研机构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社会公益组织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法律服务机构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</w:t>
            </w:r>
          </w:p>
        </w:tc>
        <w:tc>
          <w:tcPr>
            <w:tcW w:w="630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</w:tr>
      <w:tr w:rsidR="00E33D6C" w:rsidTr="009712AE">
        <w:trPr>
          <w:trHeight w:val="345"/>
        </w:trPr>
        <w:tc>
          <w:tcPr>
            <w:tcW w:w="4225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07"/>
        </w:trPr>
        <w:tc>
          <w:tcPr>
            <w:tcW w:w="4225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二、上年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政府信息公开申请数量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三、本年度办理结果</w:t>
            </w:r>
          </w:p>
        </w:tc>
        <w:tc>
          <w:tcPr>
            <w:tcW w:w="3170" w:type="dxa"/>
            <w:gridSpan w:val="2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（一）予以公开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（三）不予公开</w:t>
            </w: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1.属于国家秘密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2.其他法律行政法规禁止公开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354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3.危及“三安全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一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稳定”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45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4.保护第三方合法权益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5.属于三类内部事务信息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61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6.属于四类过程性信息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22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7.属于行政执法案卷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02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8.属于行政查询事项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（四）无法提供</w:t>
            </w: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1.本机关不掌握相关政府信息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2.没有现成信息需要另行制作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3.补正后申请内容仍不明确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40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（五）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不予处理</w:t>
            </w:r>
            <w:proofErr w:type="gramEnd"/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1.信访举报投诉类申请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19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2.重复申请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11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3.要求提供公开出版物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4.无正当理由大量反复申请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35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 w:val="restart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（六）其他处理</w:t>
            </w: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1.申请人无正当理由逾期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补正、行政机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关</w:t>
            </w:r>
            <w:proofErr w:type="gramStart"/>
            <w:r>
              <w:rPr>
                <w:rFonts w:ascii="宋体" w:eastAsia="宋体" w:hAnsi="宋体" w:cs="宋体" w:hint="eastAsia"/>
                <w:sz w:val="20"/>
                <w:szCs w:val="20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sz w:val="20"/>
                <w:szCs w:val="20"/>
              </w:rPr>
              <w:t>再处理其政府信息公开申请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lastRenderedPageBreak/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35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2.申请人逾期未按收费通知要求缴纳费用、行政机关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不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再处理其政府信息公开申请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35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1141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029" w:type="dxa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3.其他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399"/>
        </w:trPr>
        <w:tc>
          <w:tcPr>
            <w:tcW w:w="1055" w:type="dxa"/>
            <w:vMerge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3170" w:type="dxa"/>
            <w:gridSpan w:val="2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（七）总计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  <w:tr w:rsidR="00E33D6C" w:rsidTr="009712AE">
        <w:trPr>
          <w:trHeight w:val="432"/>
        </w:trPr>
        <w:tc>
          <w:tcPr>
            <w:tcW w:w="4225" w:type="dxa"/>
            <w:gridSpan w:val="3"/>
            <w:vAlign w:val="center"/>
          </w:tcPr>
          <w:p w:rsidR="00E33D6C" w:rsidRDefault="00E33D6C" w:rsidP="009712AE">
            <w:pPr>
              <w:spacing w:line="400" w:lineRule="exact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四、</w:t>
            </w:r>
            <w:r>
              <w:rPr>
                <w:rFonts w:ascii="宋体" w:eastAsia="宋体" w:hAnsi="宋体" w:cs="宋体" w:hint="eastAsia"/>
                <w:color w:val="333333"/>
                <w:sz w:val="20"/>
                <w:szCs w:val="20"/>
                <w:shd w:val="clear" w:color="auto" w:fill="FFFFFF"/>
              </w:rPr>
              <w:t>结转</w:t>
            </w:r>
            <w:r>
              <w:rPr>
                <w:rFonts w:ascii="宋体" w:eastAsia="宋体" w:hAnsi="宋体" w:cs="宋体" w:hint="eastAsia"/>
                <w:sz w:val="20"/>
                <w:szCs w:val="20"/>
              </w:rPr>
              <w:t>下年度继续办理</w:t>
            </w:r>
          </w:p>
        </w:tc>
        <w:tc>
          <w:tcPr>
            <w:tcW w:w="83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81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481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630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E33D6C" w:rsidRPr="00E33D6C" w:rsidRDefault="00E33D6C" w:rsidP="00E33D6C">
      <w:pPr>
        <w:spacing w:beforeLines="100" w:before="312" w:afterLines="50" w:after="156" w:line="400" w:lineRule="exact"/>
        <w:outlineLvl w:val="0"/>
        <w:rPr>
          <w:rFonts w:ascii="黑体" w:eastAsia="黑体" w:hAnsi="黑体"/>
          <w:sz w:val="32"/>
          <w:szCs w:val="32"/>
        </w:rPr>
      </w:pPr>
      <w:r w:rsidRPr="00E33D6C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3"/>
        <w:gridCol w:w="554"/>
      </w:tblGrid>
      <w:tr w:rsidR="00E33D6C" w:rsidTr="009712AE">
        <w:trPr>
          <w:jc w:val="center"/>
        </w:trPr>
        <w:tc>
          <w:tcPr>
            <w:tcW w:w="2765" w:type="dxa"/>
            <w:gridSpan w:val="5"/>
            <w:vMerge w:val="restart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行政复议</w:t>
            </w:r>
          </w:p>
        </w:tc>
        <w:tc>
          <w:tcPr>
            <w:tcW w:w="5531" w:type="dxa"/>
            <w:gridSpan w:val="10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行政诉讼</w:t>
            </w:r>
          </w:p>
        </w:tc>
      </w:tr>
      <w:tr w:rsidR="00E33D6C" w:rsidTr="009712AE">
        <w:trPr>
          <w:jc w:val="center"/>
        </w:trPr>
        <w:tc>
          <w:tcPr>
            <w:tcW w:w="2765" w:type="dxa"/>
            <w:gridSpan w:val="5"/>
            <w:vMerge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</w:p>
        </w:tc>
        <w:tc>
          <w:tcPr>
            <w:tcW w:w="2765" w:type="dxa"/>
            <w:gridSpan w:val="5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未经复议直接起诉</w:t>
            </w:r>
          </w:p>
        </w:tc>
        <w:tc>
          <w:tcPr>
            <w:tcW w:w="2766" w:type="dxa"/>
            <w:gridSpan w:val="5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复议后起诉</w:t>
            </w:r>
          </w:p>
        </w:tc>
      </w:tr>
      <w:tr w:rsidR="00E33D6C" w:rsidTr="009712AE">
        <w:trPr>
          <w:jc w:val="center"/>
        </w:trPr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结果维持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结果纠正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其他结果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尚未审结</w:t>
            </w:r>
          </w:p>
        </w:tc>
        <w:tc>
          <w:tcPr>
            <w:tcW w:w="55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总计</w:t>
            </w:r>
          </w:p>
        </w:tc>
      </w:tr>
      <w:tr w:rsidR="00E33D6C" w:rsidTr="009712AE">
        <w:trPr>
          <w:trHeight w:val="830"/>
          <w:jc w:val="center"/>
        </w:trPr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3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E33D6C" w:rsidRDefault="00E33D6C" w:rsidP="009712AE">
            <w:pPr>
              <w:spacing w:line="400" w:lineRule="exact"/>
              <w:jc w:val="center"/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0</w:t>
            </w:r>
          </w:p>
        </w:tc>
      </w:tr>
    </w:tbl>
    <w:p w:rsidR="00A8295A" w:rsidRPr="00A25C4B" w:rsidRDefault="00BD6EB8" w:rsidP="00AB732E">
      <w:pPr>
        <w:pStyle w:val="a3"/>
        <w:ind w:firstLineChars="200" w:firstLine="640"/>
        <w:rPr>
          <w:rFonts w:ascii="黑体" w:eastAsia="黑体" w:hAnsiTheme="minorEastAsia"/>
          <w:sz w:val="32"/>
          <w:szCs w:val="32"/>
        </w:rPr>
      </w:pPr>
      <w:r w:rsidRPr="00A25C4B">
        <w:rPr>
          <w:rFonts w:ascii="黑体" w:eastAsia="黑体" w:hint="eastAsia"/>
          <w:sz w:val="32"/>
          <w:szCs w:val="32"/>
        </w:rPr>
        <w:t>五</w:t>
      </w:r>
      <w:r w:rsidR="00A8295A" w:rsidRPr="00A25C4B">
        <w:rPr>
          <w:rFonts w:ascii="黑体" w:eastAsia="黑体" w:hAnsiTheme="minorEastAsia" w:hint="eastAsia"/>
          <w:sz w:val="32"/>
          <w:szCs w:val="32"/>
        </w:rPr>
        <w:t>、政府信息公开工作存在的主要问题及改进</w:t>
      </w:r>
      <w:r w:rsidR="00710149">
        <w:rPr>
          <w:rFonts w:ascii="黑体" w:eastAsia="黑体" w:hAnsiTheme="minorEastAsia" w:hint="eastAsia"/>
          <w:sz w:val="32"/>
          <w:szCs w:val="32"/>
        </w:rPr>
        <w:t>情况</w:t>
      </w:r>
    </w:p>
    <w:p w:rsidR="009F3017" w:rsidRPr="009F3017" w:rsidRDefault="009F3017" w:rsidP="009F3017">
      <w:pPr>
        <w:ind w:firstLineChars="200" w:firstLine="640"/>
        <w:rPr>
          <w:rFonts w:ascii="仿宋_GB2312" w:eastAsia="仿宋_GB2312"/>
          <w:bCs/>
          <w:sz w:val="32"/>
          <w:szCs w:val="28"/>
        </w:rPr>
      </w:pPr>
      <w:r w:rsidRPr="009F3017">
        <w:rPr>
          <w:rFonts w:ascii="仿宋_GB2312" w:eastAsia="仿宋_GB2312" w:hint="eastAsia"/>
          <w:bCs/>
          <w:sz w:val="32"/>
          <w:szCs w:val="28"/>
        </w:rPr>
        <w:t>202</w:t>
      </w:r>
      <w:r>
        <w:rPr>
          <w:rFonts w:ascii="仿宋_GB2312" w:eastAsia="仿宋_GB2312" w:hint="eastAsia"/>
          <w:bCs/>
          <w:sz w:val="32"/>
          <w:szCs w:val="28"/>
        </w:rPr>
        <w:t>1</w:t>
      </w:r>
      <w:r w:rsidRPr="009F3017">
        <w:rPr>
          <w:rFonts w:ascii="仿宋_GB2312" w:eastAsia="仿宋_GB2312" w:hint="eastAsia"/>
          <w:bCs/>
          <w:sz w:val="32"/>
          <w:szCs w:val="28"/>
        </w:rPr>
        <w:t>年，</w:t>
      </w:r>
      <w:r>
        <w:rPr>
          <w:rFonts w:ascii="仿宋_GB2312" w:eastAsia="仿宋_GB2312" w:hint="eastAsia"/>
          <w:bCs/>
          <w:sz w:val="32"/>
          <w:szCs w:val="28"/>
        </w:rPr>
        <w:t>宁海县</w:t>
      </w:r>
      <w:r w:rsidRPr="009F3017">
        <w:rPr>
          <w:rFonts w:ascii="仿宋_GB2312" w:eastAsia="仿宋_GB2312" w:hint="eastAsia"/>
          <w:bCs/>
          <w:sz w:val="32"/>
          <w:szCs w:val="28"/>
        </w:rPr>
        <w:t>气象局在政府信息公开工作方面加强了组织领导，丰富公开内容，取得了一定的成效。但尚存在一些不足和差距。主要表现在：一是信息公开的时效性不够强;二是主动公开政府信息的数量还需要增加；整改措施：一是信息公开负责部门与各科室之间联系，及时将各科室生成的应公开信息发布到网上，尽量保持信息生成与发布同步;二是扩大信息公开的范围，除正式文件外，其他对社会公众有</w:t>
      </w:r>
      <w:r w:rsidRPr="009F3017">
        <w:rPr>
          <w:rFonts w:ascii="仿宋_GB2312" w:eastAsia="仿宋_GB2312" w:hint="eastAsia"/>
          <w:bCs/>
          <w:sz w:val="32"/>
          <w:szCs w:val="28"/>
        </w:rPr>
        <w:lastRenderedPageBreak/>
        <w:t>益的信息也要纳入信息公开的范围内予以发布。</w:t>
      </w:r>
    </w:p>
    <w:p w:rsidR="00A8295A" w:rsidRDefault="00BB3B3C" w:rsidP="00AB732E">
      <w:pPr>
        <w:pStyle w:val="a3"/>
        <w:ind w:firstLineChars="98" w:firstLine="314"/>
        <w:rPr>
          <w:rFonts w:ascii="黑体" w:eastAsia="黑体"/>
          <w:sz w:val="32"/>
          <w:szCs w:val="32"/>
        </w:rPr>
      </w:pPr>
      <w:r w:rsidRPr="00A25C4B">
        <w:rPr>
          <w:rFonts w:ascii="黑体" w:eastAsia="黑体" w:hint="eastAsia"/>
          <w:sz w:val="32"/>
          <w:szCs w:val="32"/>
        </w:rPr>
        <w:t xml:space="preserve"> </w:t>
      </w:r>
      <w:r w:rsidR="00E92EA7">
        <w:rPr>
          <w:rFonts w:ascii="黑体" w:eastAsia="黑体" w:hint="eastAsia"/>
          <w:sz w:val="32"/>
          <w:szCs w:val="32"/>
        </w:rPr>
        <w:t xml:space="preserve"> </w:t>
      </w:r>
      <w:bookmarkStart w:id="0" w:name="_GoBack"/>
      <w:bookmarkEnd w:id="0"/>
      <w:r w:rsidR="00BD6EB8" w:rsidRPr="00A25C4B">
        <w:rPr>
          <w:rFonts w:ascii="黑体" w:eastAsia="黑体" w:hint="eastAsia"/>
          <w:sz w:val="32"/>
          <w:szCs w:val="32"/>
        </w:rPr>
        <w:t>六</w:t>
      </w:r>
      <w:r w:rsidR="00A8295A" w:rsidRPr="00A25C4B">
        <w:rPr>
          <w:rFonts w:ascii="黑体" w:eastAsia="黑体" w:hint="eastAsia"/>
          <w:sz w:val="32"/>
          <w:szCs w:val="32"/>
        </w:rPr>
        <w:t>、其他需要报告的事项</w:t>
      </w:r>
    </w:p>
    <w:p w:rsidR="00E92EA7" w:rsidRDefault="00E92EA7" w:rsidP="00E92EA7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本机关2021年未发出依申请公开缴款通知书，也未对申请人收取信息处理费，特此说明。</w:t>
      </w:r>
    </w:p>
    <w:p w:rsidR="00B12CE7" w:rsidRDefault="00B12CE7" w:rsidP="00AB732E">
      <w:pPr>
        <w:pStyle w:val="a3"/>
        <w:ind w:firstLineChars="98" w:firstLine="235"/>
      </w:pPr>
    </w:p>
    <w:sectPr w:rsidR="00B12CE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A7D" w:rsidRDefault="00166A7D" w:rsidP="00DF0BAC">
      <w:r>
        <w:separator/>
      </w:r>
    </w:p>
  </w:endnote>
  <w:endnote w:type="continuationSeparator" w:id="0">
    <w:p w:rsidR="00166A7D" w:rsidRDefault="00166A7D" w:rsidP="00DF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951598"/>
      <w:docPartObj>
        <w:docPartGallery w:val="Page Numbers (Bottom of Page)"/>
        <w:docPartUnique/>
      </w:docPartObj>
    </w:sdtPr>
    <w:sdtEndPr/>
    <w:sdtContent>
      <w:p w:rsidR="00D37598" w:rsidRDefault="00D375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EA7" w:rsidRPr="00E92EA7">
          <w:rPr>
            <w:noProof/>
            <w:lang w:val="zh-CN"/>
          </w:rPr>
          <w:t>6</w:t>
        </w:r>
        <w:r>
          <w:fldChar w:fldCharType="end"/>
        </w:r>
      </w:p>
    </w:sdtContent>
  </w:sdt>
  <w:p w:rsidR="00D37598" w:rsidRDefault="00D3759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A7D" w:rsidRDefault="00166A7D" w:rsidP="00DF0BAC">
      <w:r>
        <w:separator/>
      </w:r>
    </w:p>
  </w:footnote>
  <w:footnote w:type="continuationSeparator" w:id="0">
    <w:p w:rsidR="00166A7D" w:rsidRDefault="00166A7D" w:rsidP="00DF0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7E68"/>
    <w:multiLevelType w:val="hybridMultilevel"/>
    <w:tmpl w:val="BA169024"/>
    <w:lvl w:ilvl="0" w:tplc="208C0324">
      <w:start w:val="1"/>
      <w:numFmt w:val="japaneseCounting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080"/>
        </w:tabs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340"/>
        </w:tabs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600"/>
        </w:tabs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20"/>
        </w:tabs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393"/>
    <w:rsid w:val="00035C70"/>
    <w:rsid w:val="000513F0"/>
    <w:rsid w:val="00065375"/>
    <w:rsid w:val="00086DA0"/>
    <w:rsid w:val="000870B8"/>
    <w:rsid w:val="000870BB"/>
    <w:rsid w:val="00091285"/>
    <w:rsid w:val="00096E7C"/>
    <w:rsid w:val="000D23AE"/>
    <w:rsid w:val="000D702E"/>
    <w:rsid w:val="00123D31"/>
    <w:rsid w:val="0016435A"/>
    <w:rsid w:val="00166A7D"/>
    <w:rsid w:val="0019126D"/>
    <w:rsid w:val="001E5FBC"/>
    <w:rsid w:val="001F36E5"/>
    <w:rsid w:val="0020435F"/>
    <w:rsid w:val="0025535F"/>
    <w:rsid w:val="0026376D"/>
    <w:rsid w:val="00267B0C"/>
    <w:rsid w:val="002763A1"/>
    <w:rsid w:val="00284AA6"/>
    <w:rsid w:val="00294D94"/>
    <w:rsid w:val="002D5AB1"/>
    <w:rsid w:val="002E2B33"/>
    <w:rsid w:val="002E5EE3"/>
    <w:rsid w:val="00311D9F"/>
    <w:rsid w:val="00324D4C"/>
    <w:rsid w:val="00337817"/>
    <w:rsid w:val="00353961"/>
    <w:rsid w:val="00366A3E"/>
    <w:rsid w:val="0037270D"/>
    <w:rsid w:val="003A131C"/>
    <w:rsid w:val="003E1294"/>
    <w:rsid w:val="003E4896"/>
    <w:rsid w:val="004045F9"/>
    <w:rsid w:val="00404773"/>
    <w:rsid w:val="00414053"/>
    <w:rsid w:val="004351F2"/>
    <w:rsid w:val="00436260"/>
    <w:rsid w:val="00450BDB"/>
    <w:rsid w:val="00451CF4"/>
    <w:rsid w:val="0046088A"/>
    <w:rsid w:val="00471484"/>
    <w:rsid w:val="004A0EF3"/>
    <w:rsid w:val="004A33FB"/>
    <w:rsid w:val="004E6096"/>
    <w:rsid w:val="00500506"/>
    <w:rsid w:val="005065F5"/>
    <w:rsid w:val="005573B1"/>
    <w:rsid w:val="005966C3"/>
    <w:rsid w:val="005A187B"/>
    <w:rsid w:val="005A195D"/>
    <w:rsid w:val="005B0158"/>
    <w:rsid w:val="005B02CB"/>
    <w:rsid w:val="005C132F"/>
    <w:rsid w:val="005C29D8"/>
    <w:rsid w:val="00603BEA"/>
    <w:rsid w:val="0063045D"/>
    <w:rsid w:val="00641393"/>
    <w:rsid w:val="00642F6F"/>
    <w:rsid w:val="006431AD"/>
    <w:rsid w:val="006C070D"/>
    <w:rsid w:val="006C6110"/>
    <w:rsid w:val="006C692C"/>
    <w:rsid w:val="006D3E42"/>
    <w:rsid w:val="006D5413"/>
    <w:rsid w:val="00710149"/>
    <w:rsid w:val="0071797D"/>
    <w:rsid w:val="007212FD"/>
    <w:rsid w:val="007522A1"/>
    <w:rsid w:val="00756F3D"/>
    <w:rsid w:val="007656B8"/>
    <w:rsid w:val="00791D17"/>
    <w:rsid w:val="00796A3B"/>
    <w:rsid w:val="00827394"/>
    <w:rsid w:val="00830F68"/>
    <w:rsid w:val="00836F1A"/>
    <w:rsid w:val="008B738D"/>
    <w:rsid w:val="008D3907"/>
    <w:rsid w:val="008E3036"/>
    <w:rsid w:val="008E5286"/>
    <w:rsid w:val="009111F2"/>
    <w:rsid w:val="00925FC7"/>
    <w:rsid w:val="009358D5"/>
    <w:rsid w:val="009762CF"/>
    <w:rsid w:val="009804B3"/>
    <w:rsid w:val="00991C8A"/>
    <w:rsid w:val="009C3087"/>
    <w:rsid w:val="009D446E"/>
    <w:rsid w:val="009E7775"/>
    <w:rsid w:val="009F3017"/>
    <w:rsid w:val="009F3A30"/>
    <w:rsid w:val="00A25C4B"/>
    <w:rsid w:val="00A3326E"/>
    <w:rsid w:val="00A3725D"/>
    <w:rsid w:val="00A8295A"/>
    <w:rsid w:val="00A83959"/>
    <w:rsid w:val="00A87B4F"/>
    <w:rsid w:val="00AB732E"/>
    <w:rsid w:val="00AC08E1"/>
    <w:rsid w:val="00AE06C2"/>
    <w:rsid w:val="00AE426D"/>
    <w:rsid w:val="00AF5EEF"/>
    <w:rsid w:val="00B12CE7"/>
    <w:rsid w:val="00B1640F"/>
    <w:rsid w:val="00B31FD9"/>
    <w:rsid w:val="00B46992"/>
    <w:rsid w:val="00B53A35"/>
    <w:rsid w:val="00B63605"/>
    <w:rsid w:val="00BA6F70"/>
    <w:rsid w:val="00BB3B3C"/>
    <w:rsid w:val="00BD6EB8"/>
    <w:rsid w:val="00BE4044"/>
    <w:rsid w:val="00BE6712"/>
    <w:rsid w:val="00C05D9F"/>
    <w:rsid w:val="00C17758"/>
    <w:rsid w:val="00C21313"/>
    <w:rsid w:val="00C24D20"/>
    <w:rsid w:val="00C35047"/>
    <w:rsid w:val="00C6441B"/>
    <w:rsid w:val="00C64BE7"/>
    <w:rsid w:val="00C76D7A"/>
    <w:rsid w:val="00C81025"/>
    <w:rsid w:val="00C970AE"/>
    <w:rsid w:val="00CA0D47"/>
    <w:rsid w:val="00CA21BD"/>
    <w:rsid w:val="00CD38D3"/>
    <w:rsid w:val="00CE3E6D"/>
    <w:rsid w:val="00D04205"/>
    <w:rsid w:val="00D048AE"/>
    <w:rsid w:val="00D07341"/>
    <w:rsid w:val="00D24D0E"/>
    <w:rsid w:val="00D37598"/>
    <w:rsid w:val="00D558D4"/>
    <w:rsid w:val="00D93B3B"/>
    <w:rsid w:val="00DE1500"/>
    <w:rsid w:val="00DF0BAC"/>
    <w:rsid w:val="00DF17D2"/>
    <w:rsid w:val="00E16B31"/>
    <w:rsid w:val="00E23794"/>
    <w:rsid w:val="00E33622"/>
    <w:rsid w:val="00E33D6C"/>
    <w:rsid w:val="00E92344"/>
    <w:rsid w:val="00E92EA7"/>
    <w:rsid w:val="00EC7ECE"/>
    <w:rsid w:val="00ED0AB8"/>
    <w:rsid w:val="00EF403F"/>
    <w:rsid w:val="00F00866"/>
    <w:rsid w:val="00F61BFA"/>
    <w:rsid w:val="00F809AA"/>
    <w:rsid w:val="00FB1166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0BAC"/>
    <w:rPr>
      <w:sz w:val="18"/>
      <w:szCs w:val="18"/>
    </w:rPr>
  </w:style>
  <w:style w:type="character" w:styleId="a6">
    <w:name w:val="Strong"/>
    <w:basedOn w:val="a0"/>
    <w:uiPriority w:val="22"/>
    <w:qFormat/>
    <w:rsid w:val="00CE3E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3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F0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F0BA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F0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F0BAC"/>
    <w:rPr>
      <w:sz w:val="18"/>
      <w:szCs w:val="18"/>
    </w:rPr>
  </w:style>
  <w:style w:type="character" w:styleId="a6">
    <w:name w:val="Strong"/>
    <w:basedOn w:val="a0"/>
    <w:uiPriority w:val="22"/>
    <w:qFormat/>
    <w:rsid w:val="00CE3E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93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878310">
                  <w:marLeft w:val="0"/>
                  <w:marRight w:val="0"/>
                  <w:marTop w:val="0"/>
                  <w:marBottom w:val="0"/>
                  <w:divBdr>
                    <w:top w:val="single" w:sz="6" w:space="0" w:color="DBDBDB"/>
                    <w:left w:val="single" w:sz="6" w:space="0" w:color="DBDBDB"/>
                    <w:bottom w:val="single" w:sz="6" w:space="0" w:color="DBDBDB"/>
                    <w:right w:val="single" w:sz="6" w:space="0" w:color="DBDBDB"/>
                  </w:divBdr>
                  <w:divsChild>
                    <w:div w:id="1869104932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29917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1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2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BA3D1-FFF9-460A-A42B-A769437D4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6</Pages>
  <Words>381</Words>
  <Characters>2173</Characters>
  <Application>Microsoft Office Word</Application>
  <DocSecurity>0</DocSecurity>
  <Lines>18</Lines>
  <Paragraphs>5</Paragraphs>
  <ScaleCrop>false</ScaleCrop>
  <Company>微软中国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薛雅亚</dc:creator>
  <cp:keywords/>
  <dc:description/>
  <cp:lastModifiedBy>NOT NULL</cp:lastModifiedBy>
  <cp:revision>25</cp:revision>
  <dcterms:created xsi:type="dcterms:W3CDTF">2021-04-02T09:10:00Z</dcterms:created>
  <dcterms:modified xsi:type="dcterms:W3CDTF">2022-01-28T06:03:00Z</dcterms:modified>
</cp:coreProperties>
</file>