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rPr>
          <w:rFonts w:ascii="仿宋_GB2312" w:hAnsi="仿宋"/>
        </w:rPr>
      </w:pPr>
      <w:bookmarkStart w:id="0" w:name="_GoBack"/>
      <w:bookmarkEnd w:id="0"/>
    </w:p>
    <w:p>
      <w:pPr>
        <w:spacing w:line="960" w:lineRule="exact"/>
        <w:rPr>
          <w:rFonts w:ascii="仿宋_GB2312" w:hAnsi="仿宋"/>
        </w:rPr>
      </w:pPr>
    </w:p>
    <w:p>
      <w:pPr>
        <w:spacing w:line="960" w:lineRule="exact"/>
        <w:rPr>
          <w:rFonts w:ascii="仿宋_GB2312" w:hAnsi="仿宋"/>
        </w:rPr>
      </w:pPr>
    </w:p>
    <w:p>
      <w:pPr>
        <w:spacing w:line="960" w:lineRule="exact"/>
        <w:rPr>
          <w:rFonts w:ascii="仿宋_GB2312" w:hAnsi="仿宋"/>
        </w:rPr>
      </w:pPr>
    </w:p>
    <w:p>
      <w:pPr>
        <w:spacing w:line="580" w:lineRule="exact"/>
        <w:jc w:val="center"/>
      </w:pPr>
      <w:r>
        <w:t>甬科外〔2019〕14号</w:t>
      </w:r>
    </w:p>
    <w:p>
      <w:pPr>
        <w:spacing w:line="580" w:lineRule="exact"/>
        <w:jc w:val="center"/>
        <w:rPr>
          <w:rFonts w:ascii="仿宋_GB2312" w:hAnsi="仿宋"/>
        </w:rPr>
      </w:pPr>
    </w:p>
    <w:p>
      <w:pPr>
        <w:spacing w:line="580" w:lineRule="exact"/>
        <w:jc w:val="center"/>
        <w:rPr>
          <w:rFonts w:ascii="仿宋_GB2312" w:hAnsi="仿宋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关于申报2019年度引进国（境）外技术和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管理专家项目计划的通知</w:t>
      </w:r>
    </w:p>
    <w:p>
      <w:pPr>
        <w:spacing w:line="400" w:lineRule="exact"/>
        <w:rPr>
          <w:rFonts w:ascii="仿宋_GB2312" w:hAnsi="仿宋"/>
        </w:rPr>
      </w:pPr>
    </w:p>
    <w:p>
      <w:pPr>
        <w:spacing w:line="360" w:lineRule="auto"/>
      </w:pPr>
      <w:r>
        <w:t>各区县（市）科技局，“四区二岛”管委会科技管理部门，市直各有关单位：</w:t>
      </w:r>
    </w:p>
    <w:p>
      <w:pPr>
        <w:spacing w:line="360" w:lineRule="auto"/>
        <w:ind w:firstLine="640" w:firstLineChars="200"/>
      </w:pPr>
      <w:r>
        <w:t>为做好2019年度国家和市级引进国（境）外技术和管理专家项目（以下简称“引智项目”）计划的申报工作，根据科技部办公厅《关于申报2019年度高端外国专家引进计划的通知》（国科办专〔2019〕6号）要求，现将有关事项通知如下：</w:t>
      </w:r>
    </w:p>
    <w:p>
      <w:pPr>
        <w:spacing w:line="360" w:lineRule="auto"/>
        <w:ind w:firstLine="640" w:firstLineChars="200"/>
        <w:rPr>
          <w:rFonts w:eastAsia="黑体"/>
        </w:rPr>
      </w:pPr>
      <w:r>
        <w:rPr>
          <w:rFonts w:eastAsia="黑体"/>
        </w:rPr>
        <w:t>一、总体要求</w:t>
      </w:r>
    </w:p>
    <w:p>
      <w:pPr>
        <w:spacing w:line="360" w:lineRule="auto"/>
        <w:ind w:firstLine="640" w:firstLineChars="200"/>
        <w:rPr>
          <w:highlight w:val="lightGray"/>
        </w:rPr>
      </w:pPr>
      <w:r>
        <w:t>全面贯彻落实党的十九大和十九届二中、三中全会精神，深入贯彻习近平总书记关于科技创新和引才引智工作的重要论述，积极践行“聚天下英才而用之”的战略思想，面向国家和宁波重大需求，聚焦“高精尖缺”引才重点，围绕科技创新和卡脖子技术，突出项目成果绩效导向，立足本地实际，积极培育扶持区域、产业特色引智项目，服务国家自主创新示范区建设，为我市创新发展提供坚实的外国人才智力支撑。</w:t>
      </w:r>
    </w:p>
    <w:p>
      <w:pPr>
        <w:spacing w:line="360" w:lineRule="auto"/>
        <w:ind w:firstLine="640" w:firstLineChars="200"/>
        <w:rPr>
          <w:rFonts w:eastAsia="黑体"/>
        </w:rPr>
      </w:pPr>
      <w:r>
        <w:rPr>
          <w:rFonts w:eastAsia="黑体"/>
        </w:rPr>
        <w:t>二、</w:t>
      </w:r>
      <w:r>
        <w:rPr>
          <w:rFonts w:eastAsia="黑体"/>
          <w:bCs/>
        </w:rPr>
        <w:t>项目类型和条件</w:t>
      </w:r>
    </w:p>
    <w:p>
      <w:pPr>
        <w:snapToGrid w:val="0"/>
        <w:spacing w:line="360" w:lineRule="auto"/>
        <w:ind w:firstLine="640" w:firstLineChars="200"/>
        <w:rPr>
          <w:bCs/>
        </w:rPr>
      </w:pPr>
      <w:r>
        <w:rPr>
          <w:rFonts w:eastAsia="楷体_GB2312"/>
          <w:bCs/>
        </w:rPr>
        <w:t>（一）国家项目申报要求</w:t>
      </w:r>
    </w:p>
    <w:p>
      <w:pPr>
        <w:snapToGrid w:val="0"/>
        <w:spacing w:line="360" w:lineRule="auto"/>
        <w:ind w:firstLine="640" w:firstLineChars="200"/>
        <w:rPr>
          <w:bCs/>
        </w:rPr>
      </w:pPr>
      <w:r>
        <w:rPr>
          <w:bCs/>
        </w:rPr>
        <w:t>按照中央对引进外国人才计划工作的改革要求，整合相关外国专家引进项目，新设立“高端外国专家引进计划”。坚持面向世界科技前沿、面向经济主战场、面向国家重大需求，统筹项目、人才、基地，统筹企业、院所、高校，统筹科技创新与中外合作创新。坚持把人才驱动作为本质要求，着力引进具有重大原始创新能力的科学家，具有推动重大技术革新能力的科技领军人才，具有世界眼光和开拓能力的企业家，符合国家战略发展需要的人文社科专家，着力引进青年创新人才、创新团队及各类急需紧缺人才。建立以创新质量、贡献、绩效为导向的项目评价体系，正确评价外国专家项目的科学价值、技术价值、经济价值、社会价值、文化价值。推进实施外国专家项目绩效评价，建立定性定量相结合的评价指标体系，将评价结果作为项目经费持续支持的重要依据。</w:t>
      </w:r>
    </w:p>
    <w:p>
      <w:pPr>
        <w:snapToGrid w:val="0"/>
        <w:spacing w:line="360" w:lineRule="auto"/>
        <w:ind w:firstLine="640" w:firstLineChars="200"/>
        <w:rPr>
          <w:bCs/>
        </w:rPr>
      </w:pPr>
      <w:r>
        <w:rPr>
          <w:bCs/>
        </w:rPr>
        <w:t>2019年度“高端外国专家引进计划”按以下四个领域进行申报：</w:t>
      </w:r>
    </w:p>
    <w:p>
      <w:pPr>
        <w:widowControl/>
        <w:spacing w:line="360" w:lineRule="auto"/>
        <w:ind w:firstLine="640" w:firstLineChars="200"/>
        <w:rPr>
          <w:color w:val="000000"/>
        </w:rPr>
      </w:pPr>
      <w:r>
        <w:rPr>
          <w:rStyle w:val="7"/>
          <w:b w:val="0"/>
          <w:bCs/>
          <w:color w:val="000000"/>
          <w:kern w:val="0"/>
          <w:shd w:val="clear" w:color="auto" w:fill="FFFFFF"/>
          <w:lang w:bidi="ar"/>
        </w:rPr>
        <w:t>1.战略科技发展类。</w:t>
      </w:r>
      <w:r>
        <w:rPr>
          <w:color w:val="000000"/>
          <w:kern w:val="0"/>
          <w:shd w:val="clear" w:color="auto" w:fill="FFFFFF"/>
          <w:lang w:bidi="ar"/>
        </w:rPr>
        <w:t>重点支持围绕国家重大科技创新需求，从事前沿基础研究、科技产业创新和工程技术创新的外国专家。大力引进研究方向处于世界科技前沿领域，从事探索性、原创性研究，能够领衔国家重大科研任务、重大工程建设，具备在关键核心技术和“卡脖子”领域上实现重大突破潜质的顶尖人才及其团队。此类项目将予以优先重点支持。</w:t>
      </w:r>
    </w:p>
    <w:p>
      <w:pPr>
        <w:widowControl/>
        <w:spacing w:line="360" w:lineRule="auto"/>
        <w:ind w:firstLine="640" w:firstLineChars="200"/>
        <w:rPr>
          <w:color w:val="000000"/>
        </w:rPr>
      </w:pPr>
      <w:r>
        <w:rPr>
          <w:rStyle w:val="7"/>
          <w:b w:val="0"/>
          <w:bCs/>
          <w:color w:val="000000"/>
          <w:kern w:val="0"/>
          <w:shd w:val="clear" w:color="auto" w:fill="FFFFFF"/>
          <w:lang w:bidi="ar"/>
        </w:rPr>
        <w:t>2.产业技术创新类。</w:t>
      </w:r>
      <w:r>
        <w:rPr>
          <w:color w:val="000000"/>
          <w:kern w:val="0"/>
          <w:shd w:val="clear" w:color="auto" w:fill="FFFFFF"/>
          <w:lang w:bidi="ar"/>
        </w:rPr>
        <w:t>围绕产业转型升级、创新发展和实施“走出去”战略，大力引进各类技术创新人才，推动关键技术、生产工艺、产品设计新突破，产生重大经济和社会效益。支持引进具有跨国经营、跨文化管理能力的企业家和战略规划外国专家。</w:t>
      </w:r>
    </w:p>
    <w:p>
      <w:pPr>
        <w:widowControl/>
        <w:spacing w:line="360" w:lineRule="auto"/>
        <w:ind w:firstLine="640" w:firstLineChars="200"/>
        <w:rPr>
          <w:color w:val="000000"/>
        </w:rPr>
      </w:pPr>
      <w:r>
        <w:rPr>
          <w:rStyle w:val="7"/>
          <w:b w:val="0"/>
          <w:bCs/>
          <w:color w:val="000000"/>
          <w:kern w:val="0"/>
          <w:shd w:val="clear" w:color="auto" w:fill="FFFFFF"/>
          <w:lang w:bidi="ar"/>
        </w:rPr>
        <w:t>3.社会与生态建设类。</w:t>
      </w:r>
      <w:r>
        <w:rPr>
          <w:color w:val="000000"/>
          <w:kern w:val="0"/>
          <w:shd w:val="clear" w:color="auto" w:fill="FFFFFF"/>
          <w:lang w:bidi="ar"/>
        </w:rPr>
        <w:t>以服务我国社会治理能力现代化和生态文明建设为主要目标，支持引进在社会发展各领域具有较高学术造诣、实践经验丰富，持续推动我国医药卫生、社会保障、金融保险、法律法规、语言文字、文化艺术、现代服务业等领域健康发展的外国专家。着力引进能够推动绿色发展、解决突出环境问题、推动生态系统保护，在“美丽中国”建设，实施区域协调与可持续发展战略中发挥重要作用的外国专家。</w:t>
      </w:r>
    </w:p>
    <w:p>
      <w:pPr>
        <w:snapToGrid w:val="0"/>
        <w:spacing w:line="360" w:lineRule="auto"/>
        <w:ind w:firstLine="640" w:firstLineChars="200"/>
        <w:rPr>
          <w:color w:val="000000"/>
          <w:kern w:val="0"/>
          <w:shd w:val="clear" w:color="auto" w:fill="FFFFFF"/>
          <w:lang w:bidi="ar"/>
        </w:rPr>
      </w:pPr>
      <w:r>
        <w:rPr>
          <w:rStyle w:val="7"/>
          <w:b w:val="0"/>
          <w:bCs/>
          <w:color w:val="000000"/>
          <w:kern w:val="0"/>
          <w:shd w:val="clear" w:color="auto" w:fill="FFFFFF"/>
          <w:lang w:bidi="ar"/>
        </w:rPr>
        <w:t>4.农业与乡村振兴类。</w:t>
      </w:r>
      <w:r>
        <w:rPr>
          <w:color w:val="000000"/>
          <w:kern w:val="0"/>
          <w:shd w:val="clear" w:color="auto" w:fill="FFFFFF"/>
          <w:lang w:bidi="ar"/>
        </w:rPr>
        <w:t>服务乡村振兴战略，以推动农业农村科技创新优先发展为主攻方向，大力引进符合国家农业农村发展规划与脱贫攻坚战略布局，能够引入国外优良品种、种植养殖技术、安全生产和检测技术、先进生产经营方式的外国农业专家，促进高产、优质、高效、生态、安全的现代农业发展。</w:t>
      </w:r>
    </w:p>
    <w:p>
      <w:pPr>
        <w:snapToGrid w:val="0"/>
        <w:spacing w:line="360" w:lineRule="auto"/>
        <w:ind w:firstLine="640" w:firstLineChars="200"/>
        <w:rPr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2019年度“国家引才引智示范基地”、“高校国际化示范学院推进计划（推进计划）” 和“高等学校学科创新引智计划（111计划）”新申报工作另行通知。已经立项且仍在支持期限内的“推进计划”和“111计划”，须按要求上报项目年度工作总结及下年度工作计划，并提出经费需求。</w:t>
      </w:r>
    </w:p>
    <w:p>
      <w:pPr>
        <w:snapToGrid w:val="0"/>
        <w:spacing w:line="360" w:lineRule="auto"/>
        <w:ind w:firstLine="640" w:firstLineChars="200"/>
        <w:rPr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项目申报主体为依法在宁波市境内设立的企业、科研院所和高校等法人单位，中资股份占51%以上。外国专家或团队人选须符合下列基本条件之一:</w:t>
      </w:r>
    </w:p>
    <w:p>
      <w:pPr>
        <w:snapToGrid w:val="0"/>
        <w:spacing w:line="360" w:lineRule="auto"/>
        <w:ind w:firstLine="640" w:firstLineChars="200"/>
        <w:rPr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1.在国外著名高校、科研院所担任相当于副教授及以上职务、职称的专家学者;</w:t>
      </w:r>
    </w:p>
    <w:p>
      <w:pPr>
        <w:snapToGrid w:val="0"/>
        <w:spacing w:line="360" w:lineRule="auto"/>
        <w:ind w:firstLine="640" w:firstLineChars="200"/>
        <w:rPr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2.在国际知名企业、机构担任高级职务的专业技术人才和经营管理人才;</w:t>
      </w:r>
    </w:p>
    <w:p>
      <w:pPr>
        <w:snapToGrid w:val="0"/>
        <w:spacing w:line="360" w:lineRule="auto"/>
        <w:ind w:firstLine="640" w:firstLineChars="200"/>
        <w:rPr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3.拥有自主知识产权或掌握核心技术的创业人才;</w:t>
      </w:r>
    </w:p>
    <w:p>
      <w:pPr>
        <w:snapToGrid w:val="0"/>
        <w:spacing w:line="360" w:lineRule="auto"/>
        <w:ind w:firstLine="640" w:firstLineChars="200"/>
        <w:rPr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4.国家急需紧缺的其他高层次外国专家和青年人才。</w:t>
      </w:r>
    </w:p>
    <w:p>
      <w:pPr>
        <w:spacing w:line="360" w:lineRule="auto"/>
        <w:ind w:firstLine="640" w:firstLineChars="200"/>
        <w:rPr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国家项目主要支持具有一定规模的人才引进项目，单个项目申请经费规模原则上应不低于20万元。入选国家计划的项目，市引智资金将予以配套资助。</w:t>
      </w:r>
    </w:p>
    <w:p>
      <w:pPr>
        <w:spacing w:line="360" w:lineRule="auto"/>
        <w:ind w:firstLine="640" w:firstLineChars="200"/>
        <w:rPr>
          <w:rFonts w:eastAsia="楷体_GB2312"/>
        </w:rPr>
      </w:pPr>
      <w:r>
        <w:rPr>
          <w:rFonts w:eastAsia="楷体_GB2312"/>
        </w:rPr>
        <w:t>（二）宁波市项目申报要求</w:t>
      </w:r>
    </w:p>
    <w:p>
      <w:pPr>
        <w:spacing w:line="360" w:lineRule="auto"/>
        <w:ind w:firstLine="640" w:firstLineChars="200"/>
      </w:pPr>
      <w:r>
        <w:rPr>
          <w:bCs/>
        </w:rPr>
        <w:t>2019年度</w:t>
      </w:r>
      <w:r>
        <w:t>宁波市引智项目计划除上述国家资助项目外，还将重点资助配合我市国家自主创新示范区建设、“246”产业集群培育工程和“中国制造2025”试点示范城市建设等重大战略决策部署，在</w:t>
      </w:r>
      <w:r>
        <w:rPr>
          <w:bCs/>
        </w:rPr>
        <w:t>高端创新平台建设、</w:t>
      </w:r>
      <w:r>
        <w:t>重点基础性研究、关键核心技术攻关、重大装备研发、培育扶持新兴产业中</w:t>
      </w:r>
      <w:r>
        <w:rPr>
          <w:bCs/>
        </w:rPr>
        <w:t>引进高端紧缺的外国人才和</w:t>
      </w:r>
      <w:r>
        <w:t>智力项目。</w:t>
      </w:r>
    </w:p>
    <w:p>
      <w:pPr>
        <w:spacing w:line="360" w:lineRule="auto"/>
        <w:ind w:firstLine="640" w:firstLineChars="200"/>
        <w:rPr>
          <w:rFonts w:eastAsia="黑体"/>
          <w:bCs/>
        </w:rPr>
      </w:pPr>
      <w:r>
        <w:rPr>
          <w:rFonts w:eastAsia="黑体"/>
          <w:color w:val="000000"/>
          <w:kern w:val="0"/>
          <w:shd w:val="clear" w:color="auto" w:fill="FFFFFF"/>
          <w:lang w:bidi="ar"/>
        </w:rPr>
        <w:t>三、</w:t>
      </w:r>
      <w:r>
        <w:rPr>
          <w:rFonts w:eastAsia="黑体"/>
          <w:bCs/>
        </w:rPr>
        <w:t>申报方式和要求</w:t>
      </w:r>
    </w:p>
    <w:p>
      <w:pPr>
        <w:spacing w:line="360" w:lineRule="auto"/>
        <w:ind w:firstLine="640" w:firstLineChars="200"/>
      </w:pPr>
      <w:r>
        <w:t>（一）国家和市级项目统一通过新的“外国专家项目管理信息系统”</w:t>
      </w:r>
      <w:r>
        <w:rPr>
          <w:u w:val="single"/>
        </w:rPr>
        <w:t>http://ceps.safea.gov.cn/</w:t>
      </w:r>
      <w:r>
        <w:t>进行申报。用户名和密码与原“引进国外技术、管理人才项目管理系统”和原“外国文教专家项目管理系统”一致。首次申报需先注册账户，“主管外专局类型”选择省级外专局，“主管外专局”选择“宁波市外国专家局”。国家级项目申报“资助类型”选择“国家资助”,宁波市级项目申报“资助类型”选择“省级资助”。</w:t>
      </w:r>
    </w:p>
    <w:p>
      <w:pPr>
        <w:spacing w:line="360" w:lineRule="auto"/>
        <w:ind w:firstLine="640" w:firstLineChars="200"/>
      </w:pPr>
      <w:r>
        <w:t>（二）各项目单位通过系统导出打印“高端外国专家引进计划申报书”申请表，“用人单位意见”栏签字盖章一式二份，随同电子文档报区县（市）科技部门或市级业务主管部门。申请专家工薪，应提供与外国专家签署的工薪合同、协议或其它相关文件扫描件，并在系统上传，原件须留存备查。无法提交原件的，应提交齐缝加盖公章的复印件。各主管部门和项目单位须把好保密关和安全关，不得上传涉密内容。</w:t>
      </w:r>
    </w:p>
    <w:p>
      <w:pPr>
        <w:spacing w:line="360" w:lineRule="auto"/>
        <w:ind w:firstLine="640" w:firstLineChars="200"/>
      </w:pPr>
      <w:r>
        <w:t>（三）各主管部门汇总审核项目申请表后，一份留存备查，一份上报宁波市外国专家局。“市级归口管理部门意见栏”由区县（市）科技部门签字盖章，“省级归口管理部门意见栏”由宁波市外国专家局签字盖章。各主管部门须同时填报项目计划汇总表（附件1），签字盖章一式一份，并提供Excel电子文档。各主管部门应对项目按重要性由高到低作初步排序。请于2019年3月13日下午5点前将纸质申报材料报送市外国专家局（鄞州区宁穿路2001号2号楼1515）。</w:t>
      </w:r>
    </w:p>
    <w:p>
      <w:pPr>
        <w:spacing w:line="360" w:lineRule="auto"/>
        <w:ind w:firstLine="640" w:firstLineChars="200"/>
      </w:pPr>
      <w:r>
        <w:t>（四）各项目单位要充分论证，引进专家及其来华时间等信息要尽量准确，经费申请额度要依据有关经费标准测算，据实填报各项信息，保证申报内容准确、完整，不得虚列虚报。不要拼凑“大”项目。</w:t>
      </w:r>
    </w:p>
    <w:p>
      <w:pPr>
        <w:spacing w:line="360" w:lineRule="auto"/>
        <w:ind w:firstLine="640" w:firstLineChars="200"/>
      </w:pPr>
      <w:r>
        <w:t>（五）各项目单位要依法依规开展外国专家引进工作，严格遵守在知识产权、同业禁止、聘用及薪酬等方面的法律规定，按照国际惯例与通行做法，推进互利共赢合作。</w:t>
      </w:r>
    </w:p>
    <w:p>
      <w:pPr>
        <w:snapToGrid w:val="0"/>
        <w:spacing w:line="360" w:lineRule="auto"/>
        <w:ind w:firstLine="640" w:firstLineChars="200"/>
      </w:pPr>
      <w:r>
        <w:t>（六）各项目单位要增强人才安全意识，积极稳妥开展工作，建立风险防范、预警与应急管理制度，对外国专家工作中发生重大事项，须及时报告，妥善处理。</w:t>
      </w:r>
    </w:p>
    <w:p>
      <w:pPr>
        <w:spacing w:line="360" w:lineRule="auto"/>
        <w:ind w:firstLine="640" w:firstLineChars="200"/>
        <w:rPr>
          <w:rFonts w:eastAsia="黑体"/>
        </w:rPr>
      </w:pPr>
      <w:r>
        <w:rPr>
          <w:rFonts w:eastAsia="黑体"/>
        </w:rPr>
        <w:t>五、项目执行要求</w:t>
      </w:r>
    </w:p>
    <w:p>
      <w:pPr>
        <w:spacing w:line="360" w:lineRule="auto"/>
        <w:ind w:firstLine="640" w:firstLineChars="200"/>
      </w:pPr>
      <w:r>
        <w:t>（一）项目单位应尽早落实专家来华时间，按照计划执行项目。注意收集阶段性成果、专家贡献、专家工作照片等材料，并定期向主管部门反馈执行情况。</w:t>
      </w:r>
    </w:p>
    <w:p>
      <w:pPr>
        <w:spacing w:line="360" w:lineRule="auto"/>
        <w:ind w:firstLine="640" w:firstLineChars="200"/>
      </w:pPr>
      <w:r>
        <w:t>（二）各主管部门应加强同项目单位的联系，及时了解项目进度和专家情况，并加强对项目单位的指导。</w:t>
      </w:r>
    </w:p>
    <w:p>
      <w:pPr>
        <w:spacing w:line="360" w:lineRule="auto"/>
        <w:ind w:firstLine="640" w:firstLineChars="200"/>
      </w:pPr>
      <w:r>
        <w:t>（三）项目执行完成后，项目单位应及时向主管部门报送执行情况材料，主要包括：</w:t>
      </w:r>
    </w:p>
    <w:p>
      <w:pPr>
        <w:spacing w:line="360" w:lineRule="auto"/>
        <w:ind w:firstLine="640" w:firstLineChars="200"/>
      </w:pPr>
      <w:r>
        <w:t>1.项目执行情况表和重要成果材料；</w:t>
      </w:r>
    </w:p>
    <w:p>
      <w:pPr>
        <w:spacing w:line="360" w:lineRule="auto"/>
        <w:ind w:firstLine="640" w:firstLineChars="200"/>
      </w:pPr>
      <w:r>
        <w:t>2.引进人才专项费用决算表；</w:t>
      </w:r>
    </w:p>
    <w:p>
      <w:pPr>
        <w:spacing w:line="360" w:lineRule="auto"/>
        <w:ind w:firstLine="640" w:firstLineChars="200"/>
      </w:pPr>
      <w:r>
        <w:t>3.项目费用明细清单；</w:t>
      </w:r>
    </w:p>
    <w:p>
      <w:pPr>
        <w:spacing w:line="360" w:lineRule="auto"/>
        <w:ind w:firstLine="640" w:firstLineChars="200"/>
      </w:pPr>
      <w:r>
        <w:t>4.外国专家护照信息页、出入境记录页复印件，国际旅费或电子客票行程单，专家从出入境口岸城市往返宁波间的交通费用，零用费签收单等相关票据复印件；申请工薪补助应提供支付凭证。</w:t>
      </w:r>
    </w:p>
    <w:p>
      <w:pPr>
        <w:spacing w:line="360" w:lineRule="auto"/>
        <w:ind w:firstLine="640" w:firstLineChars="200"/>
      </w:pPr>
      <w:r>
        <w:t>5.项目经费核销计算表。</w:t>
      </w:r>
    </w:p>
    <w:p>
      <w:pPr>
        <w:spacing w:line="360" w:lineRule="auto"/>
        <w:ind w:firstLine="640" w:firstLineChars="200"/>
      </w:pPr>
      <w:r>
        <w:t>联系人：乐遵敏，电话：89186223。</w:t>
      </w:r>
    </w:p>
    <w:p>
      <w:pPr>
        <w:spacing w:line="360" w:lineRule="auto"/>
        <w:ind w:firstLine="640" w:firstLineChars="200"/>
      </w:pPr>
    </w:p>
    <w:p>
      <w:pPr>
        <w:spacing w:line="360" w:lineRule="auto"/>
        <w:ind w:left="1532" w:leftChars="200" w:hanging="892" w:hangingChars="279"/>
      </w:pPr>
      <w:r>
        <w:t>附件：2019年引进国（境）外技术和管理专家项目计划汇总表</w:t>
      </w:r>
    </w:p>
    <w:p>
      <w:pPr>
        <w:spacing w:line="580" w:lineRule="exact"/>
        <w:ind w:left="1520" w:leftChars="475"/>
      </w:pPr>
    </w:p>
    <w:p>
      <w:pPr>
        <w:spacing w:line="580" w:lineRule="exact"/>
        <w:ind w:left="1520" w:leftChars="475"/>
      </w:pPr>
    </w:p>
    <w:p>
      <w:pPr>
        <w:tabs>
          <w:tab w:val="left" w:pos="6720"/>
        </w:tabs>
        <w:spacing w:line="580" w:lineRule="exact"/>
      </w:pPr>
      <w:r>
        <w:tab/>
      </w:r>
    </w:p>
    <w:p>
      <w:pPr>
        <w:spacing w:line="580" w:lineRule="exact"/>
        <w:ind w:left="2560" w:leftChars="800"/>
      </w:pPr>
      <w:r>
        <w:t xml:space="preserve">      </w:t>
      </w:r>
      <w:r>
        <w:rPr>
          <w:rFonts w:hint="eastAsia"/>
        </w:rPr>
        <w:t xml:space="preserve">                </w:t>
      </w:r>
      <w:r>
        <w:t>宁波市科学技术局</w:t>
      </w:r>
    </w:p>
    <w:p>
      <w:pPr>
        <w:spacing w:line="580" w:lineRule="exact"/>
        <w:ind w:left="2560" w:leftChars="800"/>
      </w:pPr>
      <w:r>
        <w:t xml:space="preserve">      </w:t>
      </w:r>
      <w:r>
        <w:rPr>
          <w:rFonts w:hint="eastAsia"/>
        </w:rPr>
        <w:t xml:space="preserve">                </w:t>
      </w:r>
      <w:r>
        <w:t xml:space="preserve"> 2019年2月28日</w:t>
      </w:r>
    </w:p>
    <w:p>
      <w:pPr>
        <w:spacing w:line="580" w:lineRule="exact"/>
        <w:ind w:firstLine="640" w:firstLineChars="200"/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814" w:left="1588" w:header="851" w:footer="1134" w:gutter="0"/>
          <w:pgNumType w:fmt="numberInDash"/>
          <w:cols w:space="720" w:num="1"/>
          <w:docGrid w:type="linesAndChars" w:linePitch="435" w:charSpace="0"/>
        </w:sectPr>
      </w:pP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附件</w:t>
      </w:r>
      <w:r>
        <w:rPr>
          <w:rFonts w:ascii="黑体" w:hAnsi="宋体" w:eastAsia="黑体"/>
        </w:rPr>
        <w:t xml:space="preserve">1 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 w:cs="Arial"/>
          <w:sz w:val="36"/>
          <w:szCs w:val="36"/>
        </w:rPr>
        <w:t>2019年引进国（境）外技术和管理专家项目计划汇总表</w:t>
      </w:r>
    </w:p>
    <w:tbl>
      <w:tblPr>
        <w:tblStyle w:val="12"/>
        <w:tblW w:w="13195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880"/>
        <w:gridCol w:w="2340"/>
        <w:gridCol w:w="900"/>
        <w:gridCol w:w="900"/>
        <w:gridCol w:w="975"/>
        <w:gridCol w:w="1080"/>
        <w:gridCol w:w="107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620" w:type="dxa"/>
            <w:vAlign w:val="center"/>
          </w:tcPr>
          <w:p>
            <w:pPr>
              <w:tabs>
                <w:tab w:val="left" w:pos="22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项目序号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975" w:type="dxa"/>
            <w:vAlign w:val="center"/>
          </w:tcPr>
          <w:p>
            <w:pPr>
              <w:tabs>
                <w:tab w:val="left" w:pos="35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</w:t>
            </w:r>
          </w:p>
          <w:p>
            <w:pPr>
              <w:tabs>
                <w:tab w:val="left" w:pos="352"/>
              </w:tabs>
              <w:ind w:left="235" w:hanging="235" w:hangingChars="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总人次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35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在华工作天数（天）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申请经费（万元）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20" w:type="dxa"/>
          </w:tcPr>
          <w:p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20" w:type="dxa"/>
          </w:tcPr>
          <w:p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20" w:type="dxa"/>
          </w:tcPr>
          <w:p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20" w:type="dxa"/>
          </w:tcPr>
          <w:p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20" w:type="dxa"/>
          </w:tcPr>
          <w:p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20" w:type="dxa"/>
          </w:tcPr>
          <w:p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20" w:type="dxa"/>
          </w:tcPr>
          <w:p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20" w:type="dxa"/>
          </w:tcPr>
          <w:p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20" w:type="dxa"/>
            <w:vAlign w:val="center"/>
          </w:tcPr>
          <w:p>
            <w:pPr>
              <w:tabs>
                <w:tab w:val="left" w:pos="22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="640" w:firstLineChars="200"/>
        <w:jc w:val="left"/>
      </w:pPr>
    </w:p>
    <w:p>
      <w:pPr>
        <w:ind w:firstLine="640" w:firstLineChars="200"/>
        <w:jc w:val="left"/>
      </w:pPr>
      <w:r>
        <w:rPr>
          <w:rFonts w:hint="eastAsia"/>
        </w:rPr>
        <w:t>批准：</w:t>
      </w:r>
      <w:r>
        <w:t xml:space="preserve">                    </w:t>
      </w:r>
      <w:r>
        <w:rPr>
          <w:rFonts w:hint="eastAsia"/>
        </w:rPr>
        <w:t>审核：</w:t>
      </w:r>
      <w:r>
        <w:t xml:space="preserve">              </w:t>
      </w:r>
      <w:r>
        <w:rPr>
          <w:rFonts w:hint="eastAsia"/>
        </w:rPr>
        <w:t xml:space="preserve">      制表：</w:t>
      </w:r>
      <w:r>
        <w:t xml:space="preserve">      </w:t>
      </w:r>
    </w:p>
    <w:p>
      <w:pPr>
        <w:ind w:firstLine="640" w:firstLineChars="200"/>
        <w:jc w:val="left"/>
        <w:sectPr>
          <w:pgSz w:w="16840" w:h="11907" w:orient="landscape"/>
          <w:pgMar w:top="1588" w:right="2098" w:bottom="1304" w:left="2155" w:header="851" w:footer="1531" w:gutter="0"/>
          <w:pgNumType w:fmt="numberInDash" w:start="9"/>
          <w:cols w:space="720" w:num="1"/>
          <w:docGrid w:linePitch="285" w:charSpace="0"/>
        </w:sectPr>
      </w:pPr>
      <w:r>
        <w:rPr>
          <w:rFonts w:hint="eastAsia"/>
        </w:rPr>
        <w:t>时间：</w:t>
      </w:r>
      <w:r>
        <w:t xml:space="preserve">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  <w:r>
        <w:t xml:space="preserve">   </w:t>
      </w:r>
      <w:r>
        <w:rPr>
          <w:rFonts w:hint="eastAsia"/>
        </w:rPr>
        <w:t xml:space="preserve">   时间：</w:t>
      </w:r>
      <w:r>
        <w:t xml:space="preserve">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  <w:r>
        <w:t xml:space="preserve">      </w:t>
      </w:r>
      <w:r>
        <w:rPr>
          <w:rFonts w:hint="eastAsia"/>
        </w:rPr>
        <w:t>时间：</w:t>
      </w:r>
      <w:r>
        <w:t xml:space="preserve">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p/>
    <w:p/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hint="eastAsia" w:ascii="仿宋_GB2312" w:hAnsi="仿宋"/>
        </w:rPr>
      </w:pPr>
    </w:p>
    <w:p>
      <w:pPr>
        <w:spacing w:line="180" w:lineRule="exact"/>
        <w:ind w:firstLine="640" w:firstLineChars="200"/>
        <w:rPr>
          <w:rFonts w:ascii="仿宋_GB2312" w:hAnsi="仿宋"/>
        </w:rPr>
      </w:pPr>
    </w:p>
    <w:p>
      <w:pPr>
        <w:spacing w:line="580" w:lineRule="exact"/>
        <w:ind w:firstLine="640" w:firstLineChars="200"/>
        <w:rPr>
          <w:rFonts w:ascii="仿宋_GB2312" w:hAnsi="仿宋"/>
        </w:rPr>
      </w:pPr>
    </w:p>
    <w:p>
      <w:pPr>
        <w:adjustRightInd w:val="0"/>
        <w:snapToGrid w:val="0"/>
        <w:spacing w:line="580" w:lineRule="exact"/>
      </w:pPr>
    </w:p>
    <w:p>
      <w:pPr>
        <w:spacing w:line="360" w:lineRule="auto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356235</wp:posOffset>
                </wp:positionV>
                <wp:extent cx="5400675" cy="19050"/>
                <wp:effectExtent l="0" t="4445" r="9525" b="508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.25pt;margin-top:28.05pt;height:1.5pt;width:425.25pt;z-index:1024;mso-width-relative:page;mso-height-relative:page;" filled="f" stroked="t" coordsize="21600,21600" o:gfxdata="UEsDBAoAAAAAAIdO4kAAAAAAAAAAAAAAAAAEAAAAZHJzL1BLAwQUAAAACACHTuJAxmZjDNYAAAAH&#10;AQAADwAAAGRycy9kb3ducmV2LnhtbE2PQU+DQBCF7yb+h82YeLMLTUGkLD000XgwJFa9b9kp0LKz&#10;yG6h/feOJz2+eS/vfVNsLrYXE46+c6QgXkQgkGpnOmoUfH48P2QgfNBkdO8IFVzRw6a8vSl0btxM&#10;7zjtQiO4hHyuFbQhDLmUvm7Rar9wAxJ7BzdaHViOjTSjnrnc9nIZRam0uiNeaPWA2xbr0+5sFXzT&#10;4/VrJafsWFUhfXl9awirWan7uzhagwh4CX9h+MVndCiZae/OZLzoFawSDipI0hgE21mS8Gt7PjzF&#10;IMtC/ucvfwBQSwMEFAAAAAgAh07iQFembf/oAQAAjAMAAA4AAABkcnMvZTJvRG9jLnhtbK1TwW4T&#10;MRC9I/EPlu9kkxUBusqmh1TlUiBSS++O17tr4fVYYye7+Ql+AIkTcCqceudrSvkMxk6aFrgh9mDZ&#10;Hr83b97Mzo6HzrCNQq/BlnwyGnOmrIRK26bkby9On7zgzAdhK2HAqpJvlefH88ePZr0rVA4tmEoh&#10;IxLri96VvA3BFVnmZas64UfglKVgDdiJQEdssgpFT+ydyfLx+FnWA1YOQSrv6fZkF+TzxF/XSoY3&#10;de1VYKbkpC2kFdO6ims2n4miQeFaLfcyxD+o6IS2lPRAdSKCYGvUf1F1WiJ4qMNIQpdBXWupUg1U&#10;zWT8RzXnrXAq1ULmeHewyf8/Wvl6s0Smq5LnnFnRUYtuP1z/eP/59tvXm0/XP79/jPurLyyPVvXO&#10;F4RY2CXGYuVgz90ZyHeeWVi0wjYqSb7YOuKZRET2GyQevKOEq/4VVPRGrAMk34YaO1Yb7S4jMJKT&#10;N2xIjdoeGqWGwCRdTp9S659POZMUmxyNp6mRmSgiTQQ79OGlgo7FTcl9QKGbNizAWhoJwF0KsTnz&#10;IYq8B0SwhVNtTJoMY1lf8qNpPk2aPBhdxWB85rFZLQyyjYizlb5UMUUePkNY22qXxNiIU2ks95nv&#10;HNl5u4Jqu8Q726jlSdt+PONMPTwnc+9/ov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mZjDNYA&#10;AAAHAQAADwAAAAAAAAABACAAAAAiAAAAZHJzL2Rvd25yZXYueG1sUEsBAhQAFAAAAAgAh07iQFem&#10;bf/oAQAAj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5419725" cy="19050"/>
                <wp:effectExtent l="0" t="4445" r="9525" b="508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9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.5pt;margin-top:2.3pt;height:1.5pt;width:426.75pt;z-index:1024;mso-width-relative:page;mso-height-relative:page;" filled="f" stroked="t" coordsize="21600,21600" o:gfxdata="UEsDBAoAAAAAAIdO4kAAAAAAAAAAAAAAAAAEAAAAZHJzL1BLAwQUAAAACACHTuJAYj4g8tUAAAAF&#10;AQAADwAAAGRycy9kb3ducmV2LnhtbE2PwU7DMBBE70j8g7VI3KhTaN0oZNMDUisOKBIF7m68JIF4&#10;HWI3af++7okeRzOaeZOvj7YTIw2+dYwwnyUgiCtnWq4RPj82DykIHzQb3TkmhBN5WBe3N7nOjJv4&#10;ncZdqEUsYZ9phCaEPpPSVw1Z7WeuJ47etxusDlEOtTSDnmK57eRjkihpdctxodE9vTRU/e4OFuGP&#10;V6evhRzTn7IMavv6VjOVE+L93Tx5BhHoGP7DcMGP6FBEpr07sPGiQ3iKTwLCQoGIbrpUSxB7hJUC&#10;WeTymr44A1BLAwQUAAAACACHTuJAwTKNZ+gBAACMAwAADgAAAGRycy9lMm9Eb2MueG1srVPBjtMw&#10;EL0j8Q+W7zRJRYFGTffQ1XJZoNIue3cdJ7FwPNbYbdqf4AeQOAEn4LR3voZdPoOx2y0s3BA5WJ4Z&#10;vzczbyazk21v2Eah12ArXoxyzpSVUGvbVvz15dmjZ5z5IGwtDFhV8Z3y/GT+8MFscKUaQwemVsiI&#10;xPpycBXvQnBllnnZqV74EThlKdgA9iKQiW1WoxiIvTfZOM+fZANg7RCk8p68p/sgnyf+plEyvGoa&#10;rwIzFafaQjoxnat4ZvOZKFsUrtPyUIb4hyp6oS0lPVKdiiDYGvVfVL2WCB6aMJLQZ9A0WqrUA3VT&#10;5H90c9EJp1IvJI53R5n8/6OVLzdLZLqm2XFmRU8jun13ffP24+3XL98/XP/49j7eP39iRZRqcL4k&#10;xMIuMTYrt/bCnYN845mFRSdsq1LJlztHPAmR3YNEwztKuBpeQE1vxDpA0m3bYM8ao91VBEZy0oZt&#10;06B2x0GpbWCSnJPHxfTpeMKZpFgxzSdpkJkoI00EO/ThuYKexUvFfUCh2y4swFpaCcB9CrE594Ha&#10;IuAdIIItnGlj0mYYy4aKTyeUK0Y8GF3HYDKwXS0Mso2Iu5W+qBGR3XuGsLb13m9sxKm0lofMd4rs&#10;tV1BvVtifBz9NPJEd1jPuFO/2+nVr59o/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PiDy1QAA&#10;AAUBAAAPAAAAAAAAAAEAIAAAACIAAABkcnMvZG93bnJldi54bWxQSwECFAAUAAAACACHTuJAwTKN&#10;Z+gBAACM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"/>
          <w:sz w:val="28"/>
          <w:szCs w:val="28"/>
        </w:rPr>
        <w:t xml:space="preserve">  宁波市科技局办公室                   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2019年</w:t>
      </w:r>
      <w:r>
        <w:rPr>
          <w:rFonts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</w:rPr>
        <w:t>1</w:t>
      </w:r>
      <w:r>
        <w:rPr>
          <w:rFonts w:eastAsia="仿宋"/>
          <w:sz w:val="28"/>
          <w:szCs w:val="28"/>
        </w:rPr>
        <w:t>日印发</w:t>
      </w:r>
    </w:p>
    <w:sectPr>
      <w:type w:val="continuous"/>
      <w:pgSz w:w="11906" w:h="16838"/>
      <w:pgMar w:top="2098" w:right="1474" w:bottom="1985" w:left="1588" w:header="851" w:footer="164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tabs>
        <w:tab w:val="clear" w:pos="4153"/>
        <w:tab w:val="clear" w:pos="8306"/>
      </w:tabs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tabs>
        <w:tab w:val="clear" w:pos="4153"/>
        <w:tab w:val="clear" w:pos="8306"/>
      </w:tabs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tabs>
        <w:tab w:val="clear" w:pos="4153"/>
        <w:tab w:val="clear" w:pos="8306"/>
      </w:tabs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420"/>
  <w:drawingGridHorizontalSpacing w:val="160"/>
  <w:drawingGridVerticalSpacing w:val="435"/>
  <w:displayHorizont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CF6"/>
    <w:rsid w:val="00022225"/>
    <w:rsid w:val="000F76A1"/>
    <w:rsid w:val="00172A27"/>
    <w:rsid w:val="0026232E"/>
    <w:rsid w:val="00394C3B"/>
    <w:rsid w:val="003C4B27"/>
    <w:rsid w:val="003E5749"/>
    <w:rsid w:val="003E5D03"/>
    <w:rsid w:val="0043246C"/>
    <w:rsid w:val="00450A21"/>
    <w:rsid w:val="00510E67"/>
    <w:rsid w:val="00595399"/>
    <w:rsid w:val="005D38F1"/>
    <w:rsid w:val="005E1B55"/>
    <w:rsid w:val="006365A9"/>
    <w:rsid w:val="006A52AE"/>
    <w:rsid w:val="00722E99"/>
    <w:rsid w:val="00741FA1"/>
    <w:rsid w:val="007A0241"/>
    <w:rsid w:val="0081537C"/>
    <w:rsid w:val="008513DD"/>
    <w:rsid w:val="00860AE0"/>
    <w:rsid w:val="00900F3B"/>
    <w:rsid w:val="009224F2"/>
    <w:rsid w:val="009315F1"/>
    <w:rsid w:val="00966DC8"/>
    <w:rsid w:val="009C637F"/>
    <w:rsid w:val="009D2977"/>
    <w:rsid w:val="00B847B7"/>
    <w:rsid w:val="00BF5C84"/>
    <w:rsid w:val="00C01370"/>
    <w:rsid w:val="00C6364D"/>
    <w:rsid w:val="00C769C8"/>
    <w:rsid w:val="00D06E47"/>
    <w:rsid w:val="00D90C21"/>
    <w:rsid w:val="00DC6573"/>
    <w:rsid w:val="00DE35D3"/>
    <w:rsid w:val="00E13FF1"/>
    <w:rsid w:val="00EF2CED"/>
    <w:rsid w:val="00F62E16"/>
    <w:rsid w:val="011B6961"/>
    <w:rsid w:val="03745477"/>
    <w:rsid w:val="043348ED"/>
    <w:rsid w:val="05AE4BC5"/>
    <w:rsid w:val="0B9803B9"/>
    <w:rsid w:val="0E3C140F"/>
    <w:rsid w:val="1A83065E"/>
    <w:rsid w:val="1AD661C5"/>
    <w:rsid w:val="2C3A5F3E"/>
    <w:rsid w:val="2C46693B"/>
    <w:rsid w:val="32754E29"/>
    <w:rsid w:val="351D6CBC"/>
    <w:rsid w:val="38CE338D"/>
    <w:rsid w:val="3BCB34D7"/>
    <w:rsid w:val="447867A0"/>
    <w:rsid w:val="470D27A7"/>
    <w:rsid w:val="4B1D04DB"/>
    <w:rsid w:val="4CCF05FA"/>
    <w:rsid w:val="50030DA0"/>
    <w:rsid w:val="513316C2"/>
    <w:rsid w:val="56070897"/>
    <w:rsid w:val="58983DBF"/>
    <w:rsid w:val="5BC37A0B"/>
    <w:rsid w:val="5DF8647D"/>
    <w:rsid w:val="5E177A93"/>
    <w:rsid w:val="62082C45"/>
    <w:rsid w:val="621E6BB6"/>
    <w:rsid w:val="64AC3E1C"/>
    <w:rsid w:val="786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eastAsia="宋体"/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styleId="9">
    <w:name w:val="FollowedHyperlink"/>
    <w:qFormat/>
    <w:uiPriority w:val="0"/>
    <w:rPr>
      <w:color w:val="000000"/>
      <w:u w:val="none"/>
    </w:rPr>
  </w:style>
  <w:style w:type="character" w:styleId="10">
    <w:name w:val="Emphasis"/>
    <w:qFormat/>
    <w:uiPriority w:val="0"/>
    <w:rPr>
      <w:i/>
    </w:rPr>
  </w:style>
  <w:style w:type="character" w:styleId="11">
    <w:name w:val="Hyperlink"/>
    <w:qFormat/>
    <w:uiPriority w:val="0"/>
    <w:rPr>
      <w:color w:val="000000"/>
      <w:u w:val="none"/>
    </w:rPr>
  </w:style>
  <w:style w:type="character" w:customStyle="1" w:styleId="13">
    <w:name w:val="页脚 Char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页眉 Char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nbyb</Company>
  <Pages>10</Pages>
  <Words>531</Words>
  <Characters>3033</Characters>
  <Lines>25</Lines>
  <Paragraphs>7</Paragraphs>
  <TotalTime>21</TotalTime>
  <ScaleCrop>false</ScaleCrop>
  <LinksUpToDate>false</LinksUpToDate>
  <CharactersWithSpaces>3557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2017-12-12T14:38:00Z</dcterms:created>
  <dc:creator>user</dc:creator>
  <cp:lastModifiedBy>1</cp:lastModifiedBy>
  <cp:lastPrinted>2019-03-01T07:04:00Z</cp:lastPrinted>
  <dcterms:modified xsi:type="dcterms:W3CDTF">2019-03-05T11:18:47Z</dcterms:modified>
  <dc:title>宁波市劳动和社会保障局文件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