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宁海县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教育局202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年政府信息公开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年度报告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00" w:lineRule="exact"/>
        <w:ind w:firstLine="0"/>
        <w:jc w:val="center"/>
        <w:rPr>
          <w:rFonts w:hint="eastAsia" w:ascii="仿宋" w:hAnsi="仿宋" w:eastAsia="仿宋" w:cs="仿宋"/>
          <w:b w:val="0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</w:rPr>
        <w:t>宁海县教育局</w:t>
      </w:r>
    </w:p>
    <w:p>
      <w:pPr>
        <w:pStyle w:val="3"/>
        <w:widowControl w:val="0"/>
        <w:adjustRightInd w:val="0"/>
        <w:snapToGrid w:val="0"/>
        <w:spacing w:before="0" w:beforeAutospacing="0" w:after="0" w:afterAutospacing="0" w:line="500" w:lineRule="exact"/>
        <w:ind w:firstLine="0"/>
        <w:jc w:val="center"/>
        <w:rPr>
          <w:rFonts w:hint="eastAsia" w:ascii="仿宋" w:hAnsi="仿宋" w:eastAsia="仿宋" w:cs="仿宋"/>
          <w:b w:val="0"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</w:rPr>
        <w:t>年1月</w:t>
      </w: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根据《中华人民共和国政府信息公开条例》规定编制本报告。本报告中所列数据统计期限为202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年1月1日至12月31日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止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（一）主动公开方面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根据《浙江省教育厅办公室关于做好2021年政务公开工作的通知》精神，按照《教育行政部门政务公开工作标准清单》，在宁海县人民政府信息公开网站、宁海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教育网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宁海教育微信公众号、宁海教育微博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同步主动公开信息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375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条；官方微博发布信息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余条；官方微信发布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余条图文信息，“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宁海教育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”微信公众号关注人数逾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6.8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其中在基础信息公开目录中及时更改机构信息、领导信息；在重大决策预公开栏目中及时公开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《宁海县2021年幼儿园招生工作指导意见（征求意见稿）》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及《宁海县教育事业发展“十四五”规划(征求意见稿）》、在行政许可栏目及时公开宁海海亮高级中学等民办学校审批批复；在教育民生等重点领域及时公布义务教育段、学前教育的招生政策及结果信息。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（二）依申请公开方面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本年度共办结依申请政府信息公开事项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件，其中予以公开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件，不予公开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件，无法提供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件，不予处理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件，其他处理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件。在复议、诉讼方面，本年度收到有关政府信息公开的行政复议申请2件，发生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起关于政府信息公开的行政诉讼案件。 严格落实依申请公开规范办理机制，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遵循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“3+N+X”机制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，积极联合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县政府办公室、县人民法院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和相关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部门以及法律顾问等组成专班，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共同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沟通协调、研究会商等工作，有效预防和化解行政争议。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本年度未向公开权利人收取依申请公开的任何费用。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（三）政府信息管理方面</w:t>
      </w:r>
    </w:p>
    <w:p>
      <w:pPr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建立健全政府信息发布机制、政府信息公开审查机制，结合教育年度工作重点，完善主动公开目录，落实信息公开栏目责任主体，根据各项工作进展，按规范流程，对各栏目信息实施动态更新调整。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比如新增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instrText xml:space="preserve"> HYPERLINK "javascript: d.o(39);" \o "公平竞争审查"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公平竞争审查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instrText xml:space="preserve"> HYPERLINK "javascript: d.o(40);" \o "目录公示"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目录公示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instrText xml:space="preserve"> HYPERLINK "javascript: d.o(36);" \o "重大决策预公开"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重大决策预公开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栏目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（四）平台建设方面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按照规范政府信息公开平台建设的相关要求，统一设置栏目名称、栏目位置和格式体例，规范法定主动公开内容和目录；结合国办网站普查和季度交叉检查，保持对更新发布监测、空白超期栏目、首页可用性、网站链接可用性、严重表述错误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错别字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情况等重点指标的优化整改。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）监督保障方面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认真贯彻落实新修订的《中华人民共和国政府信息公开条例》，加强人员培训，组织政府信息公开工作人员参加政务公开专题学习和培训，及时更新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教育局政务信息公开制度和信息公开指南等相关配套制度。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接受上级部门考核检查，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未发生因政务公开工作被责任追究情况。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2123"/>
        <w:gridCol w:w="2123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　三、收到和处理政府信息公开申请情况</w:t>
      </w:r>
    </w:p>
    <w:tbl>
      <w:tblPr>
        <w:tblStyle w:val="4"/>
        <w:tblpPr w:leftFromText="180" w:rightFromText="180" w:vertAnchor="text" w:horzAnchor="page" w:tblpX="1790" w:tblpY="413"/>
        <w:tblOverlap w:val="never"/>
        <w:tblW w:w="84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893"/>
        <w:gridCol w:w="2637"/>
        <w:gridCol w:w="608"/>
        <w:gridCol w:w="608"/>
        <w:gridCol w:w="608"/>
        <w:gridCol w:w="608"/>
        <w:gridCol w:w="608"/>
        <w:gridCol w:w="608"/>
        <w:gridCol w:w="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5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08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0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4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五、政府信息公开工作存在的主要问题及改进情况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随着教育改革的不断推进，教育政务公开的能力和水平，与公众对高质量教育信息的需求，仍有较大差距，具体表现为：一是主动公开能力不足，缺乏对新制作、获取教育信息的科学审查和激励，局限于既定、传统栏目；二是巡查检测能力不足，面对海量教育信息，缺乏有效的检测技术和专业的技术人员来规范教育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年，将进一步做好以下工作：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加快政务公开提质扩面。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坚持以“公开为常态，不公开为例外”，扩大教育政务公开的广度和深度。以基础教育考试招生改革、民办教育健康发展、职业教育改革发展、新时代教师队伍建设、“三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工程”等教育重大改革、重要举措、重点项目为中心，以学校、学生、教师、家长为维度，添加新栏目、新专题，开拓新渠道、新方式，同时压实处室信息公开主体责任，转变政务公开思维理念，促进教育政务公开提质扩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健全政务公开审查机制。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快引进新技术手段，提高监测能力和结果应用，早发现，早整改，加大对政府信息公开内容起草、审批、发布等各关键节点以及保密等方面的审查力度，重点检查发布内容是否真实合法、是否符合保密要求、是否存在错别字、是否存在格式不规范等问题，确保信息发布及时、内容准确、格式规范；同时安排专人定期开展自查回访，重点对链接是否有效、附件能否正常下载等内容进行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本机关2021年未发出依申请公开缴款通知书，也未对申请人收取信息处理费，特此说明。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如对本报告有疑问，请与县教育局政府信息公开工作办公室联系（地址：宁海县跃龙街道人民路290号2楼204室；邮编：315056；电话：65259637）。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4282"/>
    <w:rsid w:val="01924571"/>
    <w:rsid w:val="01D341AE"/>
    <w:rsid w:val="06600D48"/>
    <w:rsid w:val="06FA4282"/>
    <w:rsid w:val="0E7467E7"/>
    <w:rsid w:val="105D3C92"/>
    <w:rsid w:val="13797D8B"/>
    <w:rsid w:val="18F97167"/>
    <w:rsid w:val="1D55052B"/>
    <w:rsid w:val="1EF71AEE"/>
    <w:rsid w:val="20B43634"/>
    <w:rsid w:val="243E45C7"/>
    <w:rsid w:val="25C96113"/>
    <w:rsid w:val="2C8F520C"/>
    <w:rsid w:val="41017F04"/>
    <w:rsid w:val="4A313FA5"/>
    <w:rsid w:val="54224850"/>
    <w:rsid w:val="57572CCF"/>
    <w:rsid w:val="69CA2396"/>
    <w:rsid w:val="6D5A798F"/>
    <w:rsid w:val="72F378F8"/>
    <w:rsid w:val="741C6CA2"/>
    <w:rsid w:val="748D6DD8"/>
    <w:rsid w:val="76F70E8B"/>
    <w:rsid w:val="78B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2022-01-10T05:56:00Z</dcterms:created>
  <dc:creator>寧海方英文</dc:creator>
  <cp:lastModifiedBy>寧海方英文</cp:lastModifiedBy>
  <dcterms:modified xsi:type="dcterms:W3CDTF">2022-01-27T00:56:38Z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D192397A2B674102B802D904C178667B</vt:lpwstr>
  </property>
</Properties>
</file>