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32" w:lineRule="atLeast"/>
        <w:jc w:val="center"/>
        <w:rPr>
          <w:rFonts w:ascii="宋体" w:hAnsi="宋体" w:cs="宋体"/>
        </w:rPr>
      </w:pPr>
      <w:r>
        <w:rPr>
          <w:rFonts w:hint="eastAsia" w:ascii="宋体" w:hAnsi="宋体" w:cs="宋体"/>
          <w:b/>
          <w:color w:val="333333"/>
          <w:sz w:val="36"/>
          <w:szCs w:val="36"/>
        </w:rPr>
        <w:t>政府信息公开工作年度报告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firstLine="464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eastAsia="zh-CN"/>
        </w:rPr>
        <w:t>2020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年我局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严格按照《中华人民共和国政府信息公开条例》及相关规定，不断健完善政务信息公开工作制度，精细化梳理政务信息公开标注目录，专职化落实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人员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负责体系，公开制度逐渐完善，公开渠道逐渐丰富，公开内容逐渐全面，按计划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推动信息公开工作有序进行。今年我局主动公开政府信息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513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条，全文电子化率达100%。主动公开的信息内容涉及本部门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组织机构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、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政府公文、重大决策预公开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、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提案建议、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行政执法、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行政许可、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人事信息、财政信息等项内容，以及本部门的工作动态和各类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的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等。其中宁海县人民政府网站公开政府信息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195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条,官方微博公开政府信息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373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条、官方微信公开政府信息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条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其他方式公开政府信息数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224条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；本年度我局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未收到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依申请公开信息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24"/>
        </w:rPr>
        <w:t>；本年度我局未发生因政府信息公开导致的行政复议和行政诉讼案件。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、主动公开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3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513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373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+8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+1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+25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-7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182.32万元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三、依申请公开情况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、政府信息公开行政复议、行政诉讼情况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sz w:val="30"/>
          <w:szCs w:val="30"/>
        </w:rPr>
        <w:t>、机构建设及组织保障情况</w:t>
      </w:r>
    </w:p>
    <w:tbl>
      <w:tblPr>
        <w:tblStyle w:val="3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04" w:firstLineChars="200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50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sz w:val="30"/>
          <w:szCs w:val="30"/>
        </w:rPr>
        <w:t>、存在的主要问题及改进情况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年，我局政府信息公开工作，在领导的高度重视下，总体进展较为顺利，但也存在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主动公开信息涉及面不广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、公开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形式不够便民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、公开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质量有待提升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、从业人员不专业等问题。下阶段我局将严格按照县政府统一安排，进一步推进政府信息公开工作。主要将从以下几个方面加以改进：</w:t>
      </w:r>
    </w:p>
    <w:p>
      <w:pPr>
        <w:widowControl/>
        <w:numPr>
          <w:ilvl w:val="0"/>
          <w:numId w:val="1"/>
        </w:numPr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加强梳理精度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扩大公开内容。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对照基层政务公开标准目录，参考省市同系统政务公开目录，学习优秀县市区文旅行业公开政务目录，结合本地实际，编制出台适合地区行业的政务公开标准目录，做到应公开的尽公开，可公开的也公开。</w:t>
      </w:r>
    </w:p>
    <w:p>
      <w:pPr>
        <w:widowControl/>
        <w:numPr>
          <w:ilvl w:val="0"/>
          <w:numId w:val="1"/>
        </w:numPr>
        <w:ind w:left="0" w:leftChars="0"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加强载体建设，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加大群众参与度。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依托图书馆、城市书房、网吧等公共文化旅游场所，建立贴近群众生活的政务公开网络，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切实加强政务信息公开咨询服务工作，方便公众获取信息。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加强业务指导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进一步规范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公开工作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完善政务信息公开内容审查、保密审查和更新维护等工作制度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按计划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组织专题业务培训，开展工作检查，深化公开内容，规范工作流程，进一步提升政府信息公开工作质量。</w:t>
      </w:r>
    </w:p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七</w:t>
      </w:r>
      <w:r>
        <w:rPr>
          <w:rFonts w:hint="eastAsia" w:ascii="黑体" w:hAnsi="黑体" w:eastAsia="黑体"/>
          <w:sz w:val="30"/>
          <w:szCs w:val="30"/>
        </w:rPr>
        <w:t>、其他需要报告的事项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年我局无其他需要报告的事项。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8D470"/>
    <w:multiLevelType w:val="singleLevel"/>
    <w:tmpl w:val="12E8D4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A1498"/>
    <w:rsid w:val="3CD40AC7"/>
    <w:rsid w:val="467A1498"/>
    <w:rsid w:val="624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2021-01-13T00:55:00Z</dcterms:created>
  <dc:creator>StorM</dc:creator>
  <cp:lastModifiedBy>StorM</cp:lastModifiedBy>
  <dcterms:modified xsi:type="dcterms:W3CDTF">2022-01-26T05:15:25Z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BA1E3963CC104A49A95CAE22FC953AC9</vt:lpwstr>
  </property>
</Properties>
</file>