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宁海县水利局关于做好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2020年度政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务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公开工作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的总结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宁海县水利局政务公开年度报告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按照《中华人民共和国政府信息公开条例》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和《浙江省政府信息公开暂行办法》的要求编制，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按照宁波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市政府信息公开工作的统一部署和要求，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水利局的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工作实际，大力推进政府信息公开机构建设，不断规范政府信息公开制度，提高政府信息水平，有力辅助促进其他工作开展。报告中所列数据的统计期限自2020年1月1日起至2020年12月31日止。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一、本年度政务信息总体公开情况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水利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局以履职尽责督促检查为宗旨，认真执行信息审核发布制度和主动公开及依申请公开办事程序。本局政府信息公开工作运行正常，政府信息公开咨询、申请以及答复工作均得到了顺利的发展。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1.加强领导，健全组织。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水利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局党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高度重视政务公开工作，紧密结合工作实际和文件精神，落实部署相关工作。一是进一步完善领导小组，明确具体指导、协调和组织实施政务公开工作，促进政务公开工作顺利开展。二是落实政务公开管理责任制，做到了主要领导亲自抓、业务股室及下属单位负责人具体抓，继续保持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水利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系统政务公开工作一级抓一级、层层抓落实的良好局面。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2.完善机制，加强监管。积极推进政务公开工作的制度化、规范化建设，建立健全政务公开长效机制，以制度推动政务公开工作深入发展，以机制确保各项工作取得实效。 </w:t>
      </w:r>
    </w:p>
    <w:p>
      <w:pPr>
        <w:spacing w:line="600" w:lineRule="exact"/>
        <w:ind w:firstLine="640"/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3.明确重点，增强效果。为落实公开办事制度，我局紧紧围绕群众关心的热点、难点、焦点进行公开，确实保证公开透明运行工作不走过场、不流于形式、真正收到实效。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在政府信息公开网站上及时发布台风情况及相应的应急响应等级，提醒广大群众及相关单位做好相应的防灾减灾防御工作。及时发布年度防汛防台汛前准备及安全隐患大排查工作通知。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打造常态化公开模式，及时发布社会政务公开信息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2020年我局主动公开政府信息数158条，其中政府网站公开政府信息数65条；政务微博公开政府信息数80条；行政许可处理决定数量为80条；行政处罚处理决定数量2条；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（一）</w:t>
      </w:r>
      <w:r>
        <w:rPr>
          <w:rFonts w:hint="eastAsia" w:ascii="黑体" w:hAnsi="黑体" w:eastAsia="黑体" w:cs="黑体"/>
          <w:sz w:val="30"/>
          <w:szCs w:val="30"/>
        </w:rPr>
        <w:t>主动公开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情况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64" w:firstLineChars="20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696" w:firstLineChars="30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 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112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-32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-2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+1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232687.11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（二）</w:t>
      </w:r>
      <w:r>
        <w:rPr>
          <w:rFonts w:hint="eastAsia" w:ascii="黑体" w:hAnsi="黑体" w:eastAsia="黑体"/>
          <w:sz w:val="30"/>
          <w:szCs w:val="30"/>
        </w:rPr>
        <w:t>依申请公开情况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打造新速度，扎实做好依申请公开工作。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严格按照《宁海县水利局依申请公开办理制度》进行依申请公开工作，按照法定时限答复，畅通依申请公开受理渠道，依申请公开工作一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切正常有序开展。目前群众通过政府信息公开网提交的依申请公开事项9件，其中：办理结果属于予以公开的数量为5件；部分公开的数量为1件；</w:t>
      </w:r>
      <w:r>
        <w:rPr>
          <w:rFonts w:hint="eastAsia" w:ascii="仿宋" w:hAnsi="仿宋" w:eastAsia="仿宋" w:cs="仿宋"/>
          <w:sz w:val="32"/>
          <w:szCs w:val="32"/>
        </w:rPr>
        <w:t>属于三类内部事务信息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；属于重复申请的数量为1件，无法提供的数量为1件。未有1起因政府信息公开引起的行政诉讼。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312" w:beforeLines="100" w:after="156" w:afterLines="50" w:line="400" w:lineRule="exact"/>
        <w:ind w:firstLine="300" w:firstLineChars="100"/>
        <w:outlineLvl w:val="0"/>
        <w:rPr>
          <w:rFonts w:hint="eastAsia" w:ascii="黑体" w:hAnsi="黑体" w:eastAsia="黑体"/>
          <w:sz w:val="30"/>
          <w:szCs w:val="30"/>
        </w:rPr>
      </w:pPr>
      <w:bookmarkStart w:id="1" w:name="_GoBack"/>
      <w:bookmarkEnd w:id="1"/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ind w:firstLine="600" w:firstLineChars="200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、机构建设及组织保障情况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0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我局政府信息公开工作虽然取得了一定的成绩，但与政府的要求，与群众的期望还有一定的差距，主要表现：一是工作任务重，信息公开更新欠及时。二是信息人员相对匮乏，上报信息量不足。三是网上办公、网上审批的机制还有待完善。为进一步促进政府信息公开工作，将在以下几点努力：一是充实公开内容。按照“以公开为原则，不公开为例外”的总体要求，进一步完善主动公开的政府信息目录。二是健全规章制度。通过规章制度的建立健全，确保政府信息公开工作的制度化、规范化，做到信息公开及时、真实、完整。三是加强学习培训，加强干部职工对政府信息公开工作知识的学习和培训，不断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、其他需要报告的事项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E2DD"/>
    <w:multiLevelType w:val="singleLevel"/>
    <w:tmpl w:val="54B7E2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2A48"/>
    <w:rsid w:val="200B57AE"/>
    <w:rsid w:val="38703D7C"/>
    <w:rsid w:val="4FC31958"/>
    <w:rsid w:val="763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2021-01-13T07:32:00Z</dcterms:created>
  <dc:creator>Administrator</dc:creator>
  <cp:lastModifiedBy>Administrator</cp:lastModifiedBy>
  <dcterms:modified xsi:type="dcterms:W3CDTF">2021-01-15T06:49:03Z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