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outlineLvl w:val="9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宁海县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房屋征收管理中心</w:t>
      </w:r>
      <w:r>
        <w:rPr>
          <w:rFonts w:ascii="黑体" w:hAnsi="黑体" w:eastAsia="黑体" w:cs="黑体"/>
          <w:b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年度政务信息公开工作年报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本年报根据《中华人民共和国政府信息公开条例》（以下简称《条例》）的要求，按照2020年宁海房屋征收管理中心信息公开工作实际编制而成。本年报由总体情况、主动公开政府信息情况、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依申请公开政府信息情况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政府信息公开工作存在的主要问题及改进措施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其他需要报告的事项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等六个部分组成。本年报中所列数据的统计日期自2020年1月1日起至2020年12月31日止。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一是优化组织领导，构建工作体系。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有序推进政府信息公开工作，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细化了职责分工，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信息公开内容，健全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由综合科负责信息公开的日常工作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形成领导协调、综合科具体负责，业务科室承办配合的机构体系，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通过准确及时的信息渠道和各科室的协调配合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保障了我中心政府信息公开工作的顺利开展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二是加强理论学习，注重学以致用。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县政府办公室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业务培训，组织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干部开展《条例》专题培训，全面贯彻落实新条例有关规定精神。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积极组织业务骨干到法院旁听，学习做法，吸取经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验，为更好的开展工作打牢基础。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三是强化日常监督，确保工作实效。将政务公开工作与党风廉政建设综合进行检查、考评，鼓励广大干部、群众积极参与监督，积极反映公开过程中存在的突出问题，使公开工作更加扎实、有序开展。及时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整改落实，依据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第三方检测评估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反馈的问题，制定整改清单，明确整改时限，确保政务公开工作实效。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及时按要求在网站更新政府信息公开指南、目录、年报，政府信息公开栏目日常维护及时、有效。全年我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共主动公开政府信息数累计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以其他方式公开政府信息数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条, 受理依申请公开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件，均在规定时间内予以答复。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200" w:firstLine="320" w:firstLineChars="1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二、主动公开政府信息情况</w:t>
      </w:r>
    </w:p>
    <w:tbl>
      <w:tblPr>
        <w:tblStyle w:val="8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3.8064万元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依申请公开政府信息情况</w:t>
      </w:r>
    </w:p>
    <w:tbl>
      <w:tblPr>
        <w:tblStyle w:val="8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015"/>
        <w:gridCol w:w="1807"/>
        <w:gridCol w:w="861"/>
        <w:gridCol w:w="727"/>
        <w:gridCol w:w="727"/>
        <w:gridCol w:w="1018"/>
        <w:gridCol w:w="836"/>
        <w:gridCol w:w="495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37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31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自然人</w:t>
            </w:r>
          </w:p>
        </w:tc>
        <w:tc>
          <w:tcPr>
            <w:tcW w:w="38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法人或其他组织</w:t>
            </w:r>
          </w:p>
        </w:tc>
        <w:tc>
          <w:tcPr>
            <w:tcW w:w="6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商业企业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科研机构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社会公益组织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法律服务机构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</w:t>
            </w:r>
          </w:p>
        </w:tc>
        <w:tc>
          <w:tcPr>
            <w:tcW w:w="6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一、本年新收到政府信息公开申请数量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37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二、上年转结政府信息公开申请数量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三、本年度办理结果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（一）予以公开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（三）不予公开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1.属于国家秘密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2.其他法律行政法规禁止公开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3.危及“三安全一稳定”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4.保护第三方合法权益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5.属于三类内部事务信息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6.属于四类过程性信息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7.属于行政执法案卷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8.属于行政查询事项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（四）无法提供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1.本机关不掌握相关政府信息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2.没有现成信息需要另行制作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3.补正后申请内容仍不明确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（五）不予处理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1.信访举报投诉类申请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2.重复申请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3.要求提供公开出版物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4.无正当理由大量反复申请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（六）其他处理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（七）总计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四、转结下年度继续办理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6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政府信息公开行政复议、行政诉讼情况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8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15"/>
        <w:gridCol w:w="615"/>
        <w:gridCol w:w="615"/>
        <w:gridCol w:w="615"/>
        <w:gridCol w:w="599"/>
        <w:gridCol w:w="599"/>
        <w:gridCol w:w="599"/>
        <w:gridCol w:w="600"/>
        <w:gridCol w:w="600"/>
        <w:gridCol w:w="599"/>
        <w:gridCol w:w="599"/>
        <w:gridCol w:w="600"/>
        <w:gridCol w:w="600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74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3074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9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未经复议直接起诉</w:t>
            </w:r>
          </w:p>
        </w:tc>
        <w:tc>
          <w:tcPr>
            <w:tcW w:w="30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结果维持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其他结果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结果维持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结果纠正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总计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结果维持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尚未审结</w:t>
            </w:r>
          </w:p>
        </w:tc>
        <w:tc>
          <w:tcPr>
            <w:tcW w:w="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政府信息公开工作存在的主要问题及改进措施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中心政府信息公开工作在顺利开展的同时，也发现了一些不足之处，主要表现在：一是责任意识不强，部分科室对政府信息公开工作不够重视，缺乏主动担当意识；二是主动公开政府信息内容与公众的需求尚存差距，政府信息公开的范围有待拓展。下一步我中心将着力从以下两个方面进一步做好政府信息公开工作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精准任务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抓整改。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综合科牵头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及时对政务公开网站开展全面深入自查，对存在问题进行认真细致梳理，力求做到边整改、边提高。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加强领导，强化认识。全面提高单位在互联网环境下做好政务公开工作的重大意义，进一步转变理念，提高认识，确保工作常态化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本年度无其他需要报告的事项。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E49C7"/>
    <w:multiLevelType w:val="singleLevel"/>
    <w:tmpl w:val="82EE49C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9C38D8A"/>
    <w:multiLevelType w:val="singleLevel"/>
    <w:tmpl w:val="A9C38D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96"/>
    <w:rsid w:val="00000000"/>
    <w:rsid w:val="00522178"/>
    <w:rsid w:val="00F95696"/>
    <w:rsid w:val="034F69C8"/>
    <w:rsid w:val="068720CF"/>
    <w:rsid w:val="10C92006"/>
    <w:rsid w:val="1D5C33A0"/>
    <w:rsid w:val="1F6319A2"/>
    <w:rsid w:val="21854797"/>
    <w:rsid w:val="29994E94"/>
    <w:rsid w:val="2B757B96"/>
    <w:rsid w:val="43917455"/>
    <w:rsid w:val="49F6171D"/>
    <w:rsid w:val="5224063C"/>
    <w:rsid w:val="55AA6C4B"/>
    <w:rsid w:val="57C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6">
    <w:name w:val="FollowedHyperlink"/>
    <w:basedOn w:val="5"/>
    <w:unhideWhenUsed/>
    <w:qFormat/>
    <w:uiPriority w:val="99"/>
  </w:style>
  <w:style w:type="character" w:styleId="7">
    <w:name w:val="Hyperlink"/>
    <w:basedOn w:val="5"/>
    <w:unhideWhenUsed/>
    <w:qFormat/>
    <w:uiPriority w:val="99"/>
  </w:style>
  <w:style w:type="character" w:customStyle="1" w:styleId="9">
    <w:name w:val="页眉 Char"/>
    <w:basedOn w:val="5"/>
    <w:link w:val="3"/>
    <w:unhideWhenUsed/>
    <w:qFormat/>
    <w:locked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nhideWhenUsed/>
    <w:qFormat/>
    <w:locked/>
    <w:uiPriority w:val="99"/>
    <w:rPr>
      <w:sz w:val="18"/>
      <w:szCs w:val="18"/>
    </w:rPr>
  </w:style>
  <w:style w:type="character" w:customStyle="1" w:styleId="11">
    <w:name w:val="页眉 Char1"/>
    <w:basedOn w:val="5"/>
    <w:link w:val="3"/>
    <w:semiHidden/>
    <w:qFormat/>
    <w:uiPriority w:val="99"/>
    <w:rPr>
      <w:rFonts w:cs="宋体"/>
      <w:sz w:val="18"/>
      <w:szCs w:val="18"/>
    </w:rPr>
  </w:style>
  <w:style w:type="character" w:customStyle="1" w:styleId="12">
    <w:name w:val="页脚 Char1"/>
    <w:basedOn w:val="5"/>
    <w:link w:val="2"/>
    <w:semiHidden/>
    <w:qFormat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314</Words>
  <Characters>1792</Characters>
  <Lines>14</Lines>
  <Paragraphs>4</Paragraphs>
  <TotalTime>174</TotalTime>
  <ScaleCrop>false</ScaleCrop>
  <LinksUpToDate>false</LinksUpToDate>
  <CharactersWithSpaces>2102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2020-01-20T06:35:00Z</dcterms:created>
  <dc:creator>Administrator</dc:creator>
  <cp:lastModifiedBy>admin</cp:lastModifiedBy>
  <cp:lastPrinted>2021-01-14T03:13:00Z</cp:lastPrinted>
  <dcterms:modified xsi:type="dcterms:W3CDTF">2021-01-20T07:10:04Z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