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1</w:t>
      </w:r>
    </w:p>
    <w:p>
      <w:pPr>
        <w:widowControl/>
        <w:spacing w:line="646" w:lineRule="exact"/>
        <w:jc w:val="center"/>
        <w:rPr>
          <w:rFonts w:ascii="创艺简标宋" w:hAnsi="黑体" w:eastAsia="创艺简标宋"/>
          <w:sz w:val="44"/>
          <w:szCs w:val="44"/>
        </w:rPr>
      </w:pPr>
      <w:bookmarkStart w:id="0" w:name="_GoBack"/>
      <w:r>
        <w:rPr>
          <w:rFonts w:hint="eastAsia" w:ascii="方正小标宋简体" w:hAnsi="方正小标宋简体" w:eastAsia="方正小标宋简体" w:cs="方正小标宋简体"/>
          <w:sz w:val="36"/>
          <w:szCs w:val="36"/>
          <w:lang w:eastAsia="zh-CN"/>
        </w:rPr>
        <w:t>宁海县</w:t>
      </w:r>
      <w:r>
        <w:rPr>
          <w:rFonts w:hint="eastAsia" w:ascii="方正小标宋简体" w:hAnsi="方正小标宋简体" w:eastAsia="方正小标宋简体" w:cs="方正小标宋简体"/>
          <w:sz w:val="36"/>
          <w:szCs w:val="36"/>
        </w:rPr>
        <w:t>工程（技术）中心认定办理指南</w:t>
      </w:r>
      <w:bookmarkEnd w:id="0"/>
    </w:p>
    <w:p>
      <w:pPr>
        <w:widowControl/>
        <w:spacing w:line="646" w:lineRule="exact"/>
        <w:ind w:firstLine="640" w:firstLineChars="200"/>
        <w:jc w:val="both"/>
        <w:rPr>
          <w:rFonts w:ascii="黑体" w:hAnsi="黑体" w:eastAsia="黑体"/>
          <w:sz w:val="32"/>
        </w:rPr>
      </w:pPr>
      <w:r>
        <w:rPr>
          <w:rFonts w:hint="eastAsia" w:ascii="黑体" w:hAnsi="黑体" w:eastAsia="黑体"/>
          <w:sz w:val="32"/>
        </w:rPr>
        <w:t>一、政策名称</w:t>
      </w:r>
    </w:p>
    <w:p>
      <w:pPr>
        <w:widowControl/>
        <w:spacing w:line="646" w:lineRule="exact"/>
        <w:ind w:firstLine="640" w:firstLineChars="200"/>
        <w:jc w:val="both"/>
        <w:rPr>
          <w:rFonts w:hint="eastAsia" w:ascii="仿宋" w:hAnsi="仿宋" w:eastAsia="仿宋"/>
          <w:sz w:val="32"/>
          <w:lang w:eastAsia="zh-CN"/>
        </w:rPr>
      </w:pPr>
      <w:r>
        <w:rPr>
          <w:rFonts w:hint="eastAsia" w:ascii="仿宋" w:hAnsi="仿宋" w:eastAsia="仿宋"/>
          <w:sz w:val="32"/>
          <w:lang w:eastAsia="zh-CN"/>
        </w:rPr>
        <w:t>宁海县</w:t>
      </w:r>
      <w:r>
        <w:rPr>
          <w:rFonts w:hint="eastAsia" w:ascii="仿宋" w:hAnsi="仿宋" w:eastAsia="仿宋"/>
          <w:sz w:val="32"/>
        </w:rPr>
        <w:t>企业工程（技术）中心认定</w:t>
      </w:r>
      <w:r>
        <w:rPr>
          <w:rFonts w:hint="eastAsia" w:ascii="仿宋" w:hAnsi="仿宋" w:eastAsia="仿宋"/>
          <w:sz w:val="32"/>
          <w:lang w:eastAsia="zh-CN"/>
        </w:rPr>
        <w:t>。</w:t>
      </w:r>
    </w:p>
    <w:p>
      <w:pPr>
        <w:widowControl/>
        <w:numPr>
          <w:ilvl w:val="0"/>
          <w:numId w:val="1"/>
        </w:numPr>
        <w:spacing w:line="646" w:lineRule="exact"/>
        <w:ind w:firstLine="640" w:firstLineChars="200"/>
        <w:jc w:val="both"/>
        <w:rPr>
          <w:rFonts w:hint="eastAsia" w:ascii="黑体" w:hAnsi="黑体" w:eastAsia="黑体"/>
          <w:sz w:val="32"/>
        </w:rPr>
      </w:pPr>
      <w:r>
        <w:rPr>
          <w:rFonts w:hint="eastAsia" w:ascii="黑体" w:hAnsi="黑体" w:eastAsia="黑体"/>
          <w:sz w:val="32"/>
        </w:rPr>
        <w:t>补助对象及条件</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（一）在我县注册且具有独立法人资格的企业，上年度研究开发费投入占销售收入3%以上或上年度研究开发费投入超过1000万元。</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（二）企业工程（技术）中心单独用房面积100平方米以上，并具备必要的试验仪器及设备，用于研发的仪器设备原值不低于30万。</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 xml:space="preserve">（三）企业工程（技术）中心内部应有合理的组织机构，健全的规章制度和管理办法，有明确的发展规划和目标，直接从事研发和相关创新活动的科技人员占企业上年度职工总数比例不低于10%（或不少于10人）。 </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（四）企业申请认定前的三个年度内已拥有授权自主知识产权（不包括外观专利，知识产权权属人应为申请企业）或市级以上名牌产品、主持参与行业（国家、国际）标准的制（修）订。</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（五）规上企业必须上报各类反映科技活动情况的统计报表。</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（六）工程（技术）中心认定评估指标体系达到60分以上。</w:t>
      </w:r>
    </w:p>
    <w:p>
      <w:pPr>
        <w:widowControl/>
        <w:numPr>
          <w:ilvl w:val="0"/>
          <w:numId w:val="0"/>
        </w:numPr>
        <w:spacing w:line="646" w:lineRule="exact"/>
        <w:jc w:val="both"/>
        <w:rPr>
          <w:rFonts w:hint="eastAsia" w:ascii="黑体" w:hAnsi="黑体" w:eastAsia="黑体"/>
          <w:sz w:val="32"/>
        </w:rPr>
      </w:pPr>
    </w:p>
    <w:tbl>
      <w:tblPr>
        <w:tblStyle w:val="2"/>
        <w:tblpPr w:leftFromText="180" w:rightFromText="180" w:vertAnchor="text" w:horzAnchor="page" w:tblpX="1525" w:tblpY="182"/>
        <w:tblOverlap w:val="never"/>
        <w:tblW w:w="938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71"/>
        <w:gridCol w:w="1713"/>
        <w:gridCol w:w="4305"/>
        <w:gridCol w:w="1943"/>
        <w:gridCol w:w="7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9382" w:type="dxa"/>
            <w:gridSpan w:val="5"/>
            <w:tcBorders>
              <w:bottom w:val="single" w:color="auto" w:sz="4" w:space="0"/>
            </w:tcBorders>
            <w:noWrap w:val="0"/>
            <w:vAlign w:val="center"/>
          </w:tcPr>
          <w:p>
            <w:pPr>
              <w:jc w:val="center"/>
              <w:rPr>
                <w:rFonts w:ascii="仿宋_GB2312" w:hAnsi="仿宋"/>
                <w:b/>
                <w:sz w:val="24"/>
                <w:szCs w:val="24"/>
              </w:rPr>
            </w:pPr>
            <w:r>
              <w:rPr>
                <w:rFonts w:hint="eastAsia" w:ascii="仿宋_GB2312" w:hAnsi="仿宋"/>
                <w:b/>
                <w:sz w:val="24"/>
                <w:szCs w:val="24"/>
              </w:rPr>
              <w:t>工程（技术）中心认定评估指标体系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671" w:type="dxa"/>
            <w:tcBorders>
              <w:top w:val="single" w:color="auto" w:sz="4" w:space="0"/>
              <w:bottom w:val="single" w:color="auto" w:sz="4" w:space="0"/>
              <w:right w:val="single" w:color="auto" w:sz="4" w:space="0"/>
            </w:tcBorders>
            <w:noWrap w:val="0"/>
            <w:vAlign w:val="center"/>
          </w:tcPr>
          <w:p>
            <w:pPr>
              <w:ind w:left="-105" w:leftChars="-50" w:right="-105" w:rightChars="-50"/>
              <w:jc w:val="center"/>
              <w:rPr>
                <w:rFonts w:ascii="仿宋_GB2312" w:hAnsi="仿宋"/>
                <w:b/>
                <w:sz w:val="24"/>
                <w:szCs w:val="24"/>
              </w:rPr>
            </w:pPr>
            <w:r>
              <w:rPr>
                <w:rFonts w:hint="eastAsia" w:ascii="仿宋_GB2312" w:hAnsi="仿宋"/>
                <w:b/>
                <w:sz w:val="24"/>
                <w:szCs w:val="24"/>
              </w:rPr>
              <w:t>序号</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仿宋_GB2312" w:hAnsi="仿宋"/>
                <w:b/>
                <w:spacing w:val="-18"/>
                <w:sz w:val="24"/>
                <w:szCs w:val="24"/>
              </w:rPr>
            </w:pPr>
            <w:r>
              <w:rPr>
                <w:rFonts w:hint="eastAsia" w:ascii="仿宋_GB2312" w:hAnsi="仿宋"/>
                <w:b/>
                <w:spacing w:val="-18"/>
                <w:sz w:val="24"/>
                <w:szCs w:val="24"/>
              </w:rPr>
              <w:t>指标名称（分值）</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b/>
                <w:sz w:val="24"/>
                <w:szCs w:val="24"/>
              </w:rPr>
            </w:pPr>
            <w:r>
              <w:rPr>
                <w:rFonts w:hint="eastAsia" w:ascii="仿宋_GB2312" w:hAnsi="仿宋"/>
                <w:b/>
                <w:sz w:val="24"/>
                <w:szCs w:val="24"/>
              </w:rPr>
              <w:t>指</w:t>
            </w:r>
            <w:r>
              <w:rPr>
                <w:rFonts w:ascii="仿宋_GB2312" w:hAnsi="仿宋"/>
                <w:b/>
                <w:sz w:val="24"/>
                <w:szCs w:val="24"/>
              </w:rPr>
              <w:t xml:space="preserve"> </w:t>
            </w:r>
            <w:r>
              <w:rPr>
                <w:rFonts w:hint="eastAsia" w:ascii="仿宋_GB2312" w:hAnsi="仿宋"/>
                <w:b/>
                <w:sz w:val="24"/>
                <w:szCs w:val="24"/>
              </w:rPr>
              <w:t>标</w:t>
            </w:r>
            <w:r>
              <w:rPr>
                <w:rFonts w:ascii="仿宋_GB2312" w:hAnsi="仿宋"/>
                <w:b/>
                <w:sz w:val="24"/>
                <w:szCs w:val="24"/>
              </w:rPr>
              <w:t xml:space="preserve"> </w:t>
            </w:r>
            <w:r>
              <w:rPr>
                <w:rFonts w:hint="eastAsia" w:ascii="仿宋_GB2312" w:hAnsi="仿宋"/>
                <w:b/>
                <w:sz w:val="24"/>
                <w:szCs w:val="24"/>
              </w:rPr>
              <w:t>说</w:t>
            </w:r>
            <w:r>
              <w:rPr>
                <w:rFonts w:ascii="仿宋_GB2312" w:hAnsi="仿宋"/>
                <w:b/>
                <w:sz w:val="24"/>
                <w:szCs w:val="24"/>
              </w:rPr>
              <w:t xml:space="preserve"> </w:t>
            </w:r>
            <w:r>
              <w:rPr>
                <w:rFonts w:hint="eastAsia" w:ascii="仿宋_GB2312" w:hAnsi="仿宋"/>
                <w:b/>
                <w:sz w:val="24"/>
                <w:szCs w:val="24"/>
              </w:rPr>
              <w:t>明</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b/>
                <w:sz w:val="24"/>
                <w:szCs w:val="24"/>
              </w:rPr>
            </w:pPr>
            <w:r>
              <w:rPr>
                <w:rFonts w:hint="eastAsia" w:ascii="仿宋_GB2312" w:hAnsi="仿宋"/>
                <w:b/>
                <w:sz w:val="24"/>
                <w:szCs w:val="24"/>
              </w:rPr>
              <w:t>指标值</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b/>
                <w:sz w:val="24"/>
                <w:szCs w:val="24"/>
              </w:rPr>
            </w:pPr>
            <w:r>
              <w:rPr>
                <w:rFonts w:hint="eastAsia" w:ascii="仿宋_GB2312" w:hAnsi="仿宋"/>
                <w:b/>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right w:val="single" w:color="auto" w:sz="4" w:space="0"/>
            </w:tcBorders>
            <w:noWrap w:val="0"/>
            <w:vAlign w:val="center"/>
          </w:tcPr>
          <w:p>
            <w:pPr>
              <w:jc w:val="center"/>
              <w:rPr>
                <w:rFonts w:hint="eastAsia" w:ascii="仿宋_GB2312" w:hAnsi="仿宋"/>
                <w:sz w:val="24"/>
                <w:szCs w:val="24"/>
              </w:rPr>
            </w:pPr>
            <w:r>
              <w:rPr>
                <w:rFonts w:hint="eastAsia" w:ascii="仿宋_GB2312" w:hAnsi="仿宋"/>
                <w:sz w:val="24"/>
                <w:szCs w:val="24"/>
              </w:rPr>
              <w:t>1</w:t>
            </w:r>
          </w:p>
        </w:tc>
        <w:tc>
          <w:tcPr>
            <w:tcW w:w="1713"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
                <w:sz w:val="24"/>
                <w:szCs w:val="24"/>
              </w:rPr>
            </w:pPr>
            <w:r>
              <w:rPr>
                <w:rFonts w:hint="eastAsia" w:ascii="仿宋_GB2312" w:hAnsi="仿宋"/>
                <w:sz w:val="24"/>
                <w:szCs w:val="24"/>
              </w:rPr>
              <w:t>销售规模</w:t>
            </w:r>
          </w:p>
          <w:p>
            <w:pPr>
              <w:jc w:val="center"/>
              <w:rPr>
                <w:rFonts w:hint="eastAsia" w:ascii="仿宋_GB2312" w:hAnsi="仿宋"/>
                <w:sz w:val="24"/>
                <w:szCs w:val="24"/>
              </w:rPr>
            </w:pPr>
            <w:r>
              <w:rPr>
                <w:rFonts w:hint="eastAsia" w:ascii="仿宋_GB2312" w:hAnsi="仿宋"/>
                <w:sz w:val="24"/>
                <w:szCs w:val="24"/>
              </w:rPr>
              <w:t>（8分）</w:t>
            </w:r>
          </w:p>
        </w:tc>
        <w:tc>
          <w:tcPr>
            <w:tcW w:w="4305" w:type="dxa"/>
            <w:vMerge w:val="restart"/>
            <w:tcBorders>
              <w:top w:val="single" w:color="auto" w:sz="4" w:space="0"/>
              <w:left w:val="single" w:color="auto" w:sz="4" w:space="0"/>
              <w:right w:val="single" w:color="auto" w:sz="4" w:space="0"/>
            </w:tcBorders>
            <w:noWrap w:val="0"/>
            <w:vAlign w:val="center"/>
          </w:tcPr>
          <w:p>
            <w:pPr>
              <w:jc w:val="left"/>
              <w:rPr>
                <w:rFonts w:hint="eastAsia" w:ascii="仿宋_GB2312" w:hAnsi="仿宋"/>
                <w:sz w:val="24"/>
                <w:szCs w:val="24"/>
              </w:rPr>
            </w:pPr>
            <w:r>
              <w:rPr>
                <w:rFonts w:hint="eastAsia" w:ascii="仿宋_GB2312" w:hAnsi="仿宋"/>
                <w:sz w:val="24"/>
                <w:szCs w:val="24"/>
              </w:rPr>
              <w:t>上年度销售收入（万元）</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lang w:eastAsia="zh-CN"/>
              </w:rPr>
              <w:t>＜</w:t>
            </w:r>
            <w:r>
              <w:rPr>
                <w:rFonts w:ascii="仿宋_GB2312" w:hAnsi="仿宋" w:eastAsia="仿宋_GB2312"/>
                <w:sz w:val="24"/>
                <w:szCs w:val="24"/>
              </w:rPr>
              <w:t>2000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eastAsia="仿宋_GB2312"/>
                <w:sz w:val="24"/>
                <w:szCs w:val="24"/>
                <w:lang w:eastAsia="zh-CN"/>
              </w:rPr>
            </w:pPr>
            <w:r>
              <w:rPr>
                <w:rFonts w:hint="eastAsia" w:ascii="仿宋_GB2312" w:hAnsi="仿宋"/>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jc w:val="center"/>
              <w:rPr>
                <w:rFonts w:hint="eastAsia"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jc w:val="center"/>
              <w:rPr>
                <w:rFonts w:hint="eastAsia" w:ascii="仿宋_GB2312" w:hAnsi="仿宋"/>
                <w:sz w:val="24"/>
                <w:szCs w:val="24"/>
              </w:rPr>
            </w:pPr>
          </w:p>
        </w:tc>
        <w:tc>
          <w:tcPr>
            <w:tcW w:w="4305" w:type="dxa"/>
            <w:vMerge w:val="continue"/>
            <w:tcBorders>
              <w:left w:val="single" w:color="auto" w:sz="4" w:space="0"/>
              <w:right w:val="single" w:color="auto" w:sz="4" w:space="0"/>
            </w:tcBorders>
            <w:noWrap w:val="0"/>
            <w:vAlign w:val="center"/>
          </w:tcPr>
          <w:p>
            <w:pPr>
              <w:jc w:val="left"/>
              <w:rPr>
                <w:rFonts w:hint="eastAsia"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2000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eastAsia="仿宋_GB2312"/>
                <w:sz w:val="24"/>
                <w:szCs w:val="24"/>
              </w:rPr>
            </w:pPr>
            <w:r>
              <w:rPr>
                <w:rFonts w:ascii="仿宋_GB2312" w:hAnsi="仿宋" w:eastAsia="仿宋_GB2312"/>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eastAsia="仿宋_GB2312"/>
                <w:sz w:val="24"/>
                <w:szCs w:val="24"/>
              </w:rPr>
              <w:t>≥</w:t>
            </w:r>
            <w:r>
              <w:rPr>
                <w:rFonts w:ascii="仿宋_GB2312" w:hAnsi="仿宋" w:eastAsia="仿宋_GB2312"/>
                <w:sz w:val="24"/>
                <w:szCs w:val="24"/>
              </w:rPr>
              <w:t>5000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sz w:val="24"/>
                <w:szCs w:val="24"/>
              </w:rPr>
            </w:pPr>
            <w:r>
              <w:rPr>
                <w:rFonts w:ascii="仿宋_GB2312" w:hAnsi="仿宋" w:eastAsia="仿宋_GB2312"/>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2</w:t>
            </w:r>
          </w:p>
        </w:tc>
        <w:tc>
          <w:tcPr>
            <w:tcW w:w="17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销售成长</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8</w:t>
            </w:r>
            <w:r>
              <w:rPr>
                <w:rFonts w:hint="eastAsia" w:ascii="仿宋_GB2312" w:hAnsi="仿宋"/>
                <w:sz w:val="24"/>
                <w:szCs w:val="24"/>
              </w:rPr>
              <w:t>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上年度销售不足</w:t>
            </w:r>
            <w:r>
              <w:rPr>
                <w:rFonts w:ascii="仿宋_GB2312" w:hAnsi="仿宋"/>
                <w:sz w:val="24"/>
                <w:szCs w:val="24"/>
              </w:rPr>
              <w:t>1</w:t>
            </w:r>
            <w:r>
              <w:rPr>
                <w:rFonts w:hint="eastAsia" w:ascii="仿宋_GB2312" w:hAnsi="仿宋"/>
                <w:sz w:val="24"/>
                <w:szCs w:val="24"/>
              </w:rPr>
              <w:t>亿元时，近</w:t>
            </w:r>
            <w:r>
              <w:rPr>
                <w:rFonts w:ascii="仿宋_GB2312" w:hAnsi="仿宋"/>
                <w:sz w:val="24"/>
                <w:szCs w:val="24"/>
              </w:rPr>
              <w:t>3</w:t>
            </w:r>
            <w:r>
              <w:rPr>
                <w:rFonts w:hint="eastAsia" w:ascii="仿宋_GB2312" w:hAnsi="仿宋"/>
                <w:sz w:val="24"/>
                <w:szCs w:val="24"/>
              </w:rPr>
              <w:t>年销售收入平均增长率（</w:t>
            </w:r>
            <w:r>
              <w:rPr>
                <w:rFonts w:ascii="仿宋_GB2312" w:hAnsi="仿宋"/>
                <w:sz w:val="24"/>
                <w:szCs w:val="24"/>
              </w:rPr>
              <w:t>%</w:t>
            </w:r>
            <w:r>
              <w:rPr>
                <w:rFonts w:hint="eastAsia" w:ascii="仿宋_GB2312" w:hAnsi="仿宋"/>
                <w:sz w:val="24"/>
                <w:szCs w:val="24"/>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p>
        </w:tc>
        <w:tc>
          <w:tcPr>
            <w:tcW w:w="4305" w:type="dxa"/>
            <w:vMerge w:val="continue"/>
            <w:tcBorders>
              <w:left w:val="single" w:color="auto" w:sz="4" w:space="0"/>
              <w:right w:val="single" w:color="auto" w:sz="4" w:space="0"/>
            </w:tcBorders>
            <w:noWrap w:val="0"/>
            <w:vAlign w:val="center"/>
          </w:tcPr>
          <w:p>
            <w:pPr>
              <w:spacing w:line="240" w:lineRule="atLeast"/>
              <w:jc w:val="left"/>
              <w:rPr>
                <w:rFonts w:hint="eastAsia"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w:t>
            </w:r>
            <w:r>
              <w:rPr>
                <w:rFonts w:ascii="仿宋_GB2312" w:hAnsi="仿宋"/>
                <w:sz w:val="24"/>
                <w:szCs w:val="24"/>
              </w:rPr>
              <w:t>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上年度销售超过</w:t>
            </w:r>
            <w:r>
              <w:rPr>
                <w:rFonts w:ascii="仿宋_GB2312" w:hAnsi="仿宋"/>
                <w:sz w:val="24"/>
                <w:szCs w:val="24"/>
              </w:rPr>
              <w:t>1</w:t>
            </w:r>
            <w:r>
              <w:rPr>
                <w:rFonts w:hint="eastAsia" w:ascii="仿宋_GB2312" w:hAnsi="仿宋"/>
                <w:sz w:val="24"/>
                <w:szCs w:val="24"/>
              </w:rPr>
              <w:t>亿元时，近</w:t>
            </w:r>
            <w:r>
              <w:rPr>
                <w:rFonts w:ascii="仿宋_GB2312" w:hAnsi="仿宋"/>
                <w:sz w:val="24"/>
                <w:szCs w:val="24"/>
              </w:rPr>
              <w:t>3</w:t>
            </w:r>
            <w:r>
              <w:rPr>
                <w:rFonts w:hint="eastAsia" w:ascii="仿宋_GB2312" w:hAnsi="仿宋"/>
                <w:sz w:val="24"/>
                <w:szCs w:val="24"/>
              </w:rPr>
              <w:t>年销售收入平均增长率（</w:t>
            </w:r>
            <w:r>
              <w:rPr>
                <w:rFonts w:ascii="仿宋_GB2312" w:hAnsi="仿宋"/>
                <w:sz w:val="24"/>
                <w:szCs w:val="24"/>
              </w:rPr>
              <w:t>%</w:t>
            </w:r>
            <w:r>
              <w:rPr>
                <w:rFonts w:hint="eastAsia" w:ascii="仿宋_GB2312" w:hAnsi="仿宋"/>
                <w:sz w:val="24"/>
                <w:szCs w:val="24"/>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left w:val="single" w:color="auto" w:sz="4" w:space="0"/>
              <w:right w:val="single" w:color="auto" w:sz="4" w:space="0"/>
            </w:tcBorders>
            <w:noWrap w:val="0"/>
            <w:vAlign w:val="center"/>
          </w:tcPr>
          <w:p>
            <w:pPr>
              <w:spacing w:line="240" w:lineRule="atLeast"/>
              <w:jc w:val="left"/>
              <w:rPr>
                <w:rFonts w:hint="eastAsia"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w:t>
            </w:r>
            <w:r>
              <w:rPr>
                <w:rFonts w:ascii="仿宋_GB2312" w:hAnsi="仿宋"/>
                <w:sz w:val="24"/>
                <w:szCs w:val="24"/>
              </w:rPr>
              <w:t>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3</w:t>
            </w:r>
          </w:p>
        </w:tc>
        <w:tc>
          <w:tcPr>
            <w:tcW w:w="17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盈利能力</w:t>
            </w:r>
          </w:p>
          <w:p>
            <w:pPr>
              <w:spacing w:line="240" w:lineRule="atLeast"/>
              <w:jc w:val="center"/>
              <w:rPr>
                <w:rFonts w:ascii="仿宋_GB2312" w:hAnsi="仿宋"/>
                <w:sz w:val="24"/>
                <w:szCs w:val="24"/>
              </w:rPr>
            </w:pPr>
            <w:r>
              <w:rPr>
                <w:rFonts w:hint="eastAsia" w:ascii="仿宋_GB2312" w:hAnsi="仿宋"/>
                <w:sz w:val="24"/>
                <w:szCs w:val="24"/>
              </w:rPr>
              <w:t>（12分）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上年度销售利润率（</w:t>
            </w:r>
            <w:r>
              <w:rPr>
                <w:rFonts w:ascii="仿宋_GB2312" w:hAnsi="仿宋"/>
                <w:sz w:val="24"/>
                <w:szCs w:val="24"/>
              </w:rPr>
              <w:t>%</w:t>
            </w:r>
            <w:r>
              <w:rPr>
                <w:rFonts w:hint="eastAsia" w:ascii="仿宋_GB2312" w:hAnsi="仿宋"/>
                <w:sz w:val="24"/>
                <w:szCs w:val="24"/>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p>
        </w:tc>
        <w:tc>
          <w:tcPr>
            <w:tcW w:w="4305" w:type="dxa"/>
            <w:vMerge w:val="continue"/>
            <w:tcBorders>
              <w:left w:val="single" w:color="auto" w:sz="4" w:space="0"/>
              <w:right w:val="single" w:color="auto" w:sz="4" w:space="0"/>
            </w:tcBorders>
            <w:noWrap w:val="0"/>
            <w:vAlign w:val="center"/>
          </w:tcPr>
          <w:p>
            <w:pPr>
              <w:spacing w:line="240" w:lineRule="atLeast"/>
              <w:jc w:val="left"/>
              <w:rPr>
                <w:rFonts w:hint="eastAsia"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w:t>
            </w:r>
            <w:r>
              <w:rPr>
                <w:rFonts w:ascii="仿宋_GB2312" w:hAnsi="仿宋"/>
                <w:sz w:val="24"/>
                <w:szCs w:val="24"/>
              </w:rPr>
              <w:t>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3" w:hRule="atLeast"/>
        </w:trPr>
        <w:tc>
          <w:tcPr>
            <w:tcW w:w="671" w:type="dxa"/>
            <w:vMerge w:val="restart"/>
            <w:tcBorders>
              <w:top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4</w:t>
            </w:r>
          </w:p>
        </w:tc>
        <w:tc>
          <w:tcPr>
            <w:tcW w:w="1713" w:type="dxa"/>
            <w:vMerge w:val="restart"/>
            <w:tcBorders>
              <w:top w:val="single" w:color="auto" w:sz="4" w:space="0"/>
              <w:left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研究开发人员</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r>
              <w:rPr>
                <w:rFonts w:hint="eastAsia" w:ascii="仿宋_GB2312" w:hAnsi="仿宋"/>
                <w:sz w:val="24"/>
                <w:szCs w:val="24"/>
              </w:rPr>
              <w:t>分）</w:t>
            </w:r>
          </w:p>
        </w:tc>
        <w:tc>
          <w:tcPr>
            <w:tcW w:w="4305" w:type="dxa"/>
            <w:vMerge w:val="restart"/>
            <w:tcBorders>
              <w:top w:val="single" w:color="auto" w:sz="4" w:space="0"/>
              <w:left w:val="single" w:color="auto" w:sz="4" w:space="0"/>
              <w:right w:val="single" w:color="auto" w:sz="4" w:space="0"/>
            </w:tcBorders>
            <w:noWrap w:val="0"/>
            <w:vAlign w:val="center"/>
          </w:tcPr>
          <w:p>
            <w:pPr>
              <w:spacing w:line="240" w:lineRule="atLeast"/>
              <w:jc w:val="left"/>
              <w:rPr>
                <w:rFonts w:ascii="仿宋_GB2312" w:hAnsi="仿宋"/>
                <w:spacing w:val="-10"/>
                <w:sz w:val="24"/>
                <w:szCs w:val="24"/>
              </w:rPr>
            </w:pPr>
            <w:r>
              <w:rPr>
                <w:rFonts w:hint="eastAsia"/>
                <w:sz w:val="22"/>
              </w:rPr>
              <w:t>专职研发人员占总人数比例（%）</w:t>
            </w:r>
          </w:p>
        </w:tc>
        <w:tc>
          <w:tcPr>
            <w:tcW w:w="1943" w:type="dxa"/>
            <w:tcBorders>
              <w:top w:val="single" w:color="auto" w:sz="4" w:space="0"/>
              <w:left w:val="single" w:color="auto" w:sz="4" w:space="0"/>
              <w:right w:val="single" w:color="auto" w:sz="4" w:space="0"/>
            </w:tcBorders>
            <w:noWrap w:val="0"/>
            <w:vAlign w:val="center"/>
          </w:tcPr>
          <w:p>
            <w:pPr>
              <w:jc w:val="center"/>
              <w:rPr>
                <w:sz w:val="22"/>
              </w:rPr>
            </w:pPr>
          </w:p>
          <w:p>
            <w:pPr>
              <w:jc w:val="center"/>
              <w:rPr>
                <w:rFonts w:hint="eastAsia" w:ascii="仿宋_GB2312" w:hAnsi="仿宋" w:eastAsia="仿宋_GB2312"/>
                <w:sz w:val="24"/>
                <w:szCs w:val="24"/>
                <w:lang w:val="en-US" w:eastAsia="zh-CN"/>
              </w:rPr>
            </w:pPr>
            <w:r>
              <w:rPr>
                <w:rFonts w:hint="eastAsia"/>
                <w:sz w:val="22"/>
              </w:rPr>
              <w:t>≥10</w:t>
            </w:r>
            <w:r>
              <w:rPr>
                <w:rFonts w:hint="eastAsia"/>
                <w:sz w:val="22"/>
                <w:lang w:val="en-US" w:eastAsia="zh-CN"/>
              </w:rPr>
              <w:t>%</w:t>
            </w:r>
          </w:p>
        </w:tc>
        <w:tc>
          <w:tcPr>
            <w:tcW w:w="750" w:type="dxa"/>
            <w:tcBorders>
              <w:top w:val="single" w:color="auto" w:sz="4" w:space="0"/>
              <w:left w:val="single" w:color="auto" w:sz="4" w:space="0"/>
            </w:tcBorders>
            <w:noWrap w:val="0"/>
            <w:vAlign w:val="center"/>
          </w:tcPr>
          <w:p>
            <w:pPr>
              <w:spacing w:line="240" w:lineRule="atLeast"/>
              <w:jc w:val="center"/>
              <w:rPr>
                <w:rFonts w:hint="eastAsia" w:ascii="仿宋_GB2312" w:hAnsi="仿宋" w:eastAsia="仿宋_GB2312"/>
                <w:sz w:val="24"/>
                <w:szCs w:val="24"/>
                <w:lang w:eastAsia="zh-CN"/>
              </w:rPr>
            </w:pPr>
            <w:r>
              <w:rPr>
                <w:rFonts w:hint="eastAsia" w:ascii="仿宋_GB2312" w:hAnsi="仿宋"/>
                <w:sz w:val="24"/>
                <w:szCs w:val="24"/>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8" w:hRule="atLeast"/>
        </w:trPr>
        <w:tc>
          <w:tcPr>
            <w:tcW w:w="671" w:type="dxa"/>
            <w:vMerge w:val="continue"/>
            <w:tcBorders>
              <w:right w:val="single" w:color="auto" w:sz="4" w:space="0"/>
            </w:tcBorders>
            <w:noWrap w:val="0"/>
            <w:vAlign w:val="center"/>
          </w:tcPr>
          <w:p>
            <w:pPr>
              <w:spacing w:line="240" w:lineRule="atLeast"/>
              <w:jc w:val="center"/>
            </w:pPr>
          </w:p>
        </w:tc>
        <w:tc>
          <w:tcPr>
            <w:tcW w:w="1713" w:type="dxa"/>
            <w:vMerge w:val="continue"/>
            <w:tcBorders>
              <w:left w:val="single" w:color="auto" w:sz="4" w:space="0"/>
              <w:right w:val="single" w:color="auto" w:sz="4" w:space="0"/>
            </w:tcBorders>
            <w:noWrap w:val="0"/>
            <w:vAlign w:val="center"/>
          </w:tcPr>
          <w:p>
            <w:pPr>
              <w:spacing w:line="240" w:lineRule="atLeast"/>
              <w:jc w:val="center"/>
            </w:pPr>
          </w:p>
        </w:tc>
        <w:tc>
          <w:tcPr>
            <w:tcW w:w="4305" w:type="dxa"/>
            <w:vMerge w:val="continue"/>
            <w:tcBorders>
              <w:left w:val="single" w:color="auto" w:sz="4" w:space="0"/>
              <w:right w:val="single" w:color="auto" w:sz="4" w:space="0"/>
            </w:tcBorders>
            <w:noWrap w:val="0"/>
            <w:vAlign w:val="center"/>
          </w:tcPr>
          <w:p>
            <w:pPr>
              <w:spacing w:line="240" w:lineRule="atLeast"/>
              <w:jc w:val="center"/>
            </w:pPr>
          </w:p>
        </w:tc>
        <w:tc>
          <w:tcPr>
            <w:tcW w:w="1943" w:type="dxa"/>
            <w:tcBorders>
              <w:top w:val="single" w:color="auto" w:sz="4" w:space="0"/>
              <w:left w:val="single" w:color="auto" w:sz="4" w:space="0"/>
              <w:right w:val="single" w:color="auto" w:sz="4" w:space="0"/>
            </w:tcBorders>
            <w:noWrap w:val="0"/>
            <w:vAlign w:val="center"/>
          </w:tcPr>
          <w:p>
            <w:pPr>
              <w:jc w:val="center"/>
              <w:rPr>
                <w:rFonts w:hint="default" w:ascii="仿宋_GB2312" w:hAnsi="仿宋" w:eastAsia="仿宋_GB2312"/>
                <w:sz w:val="24"/>
                <w:szCs w:val="24"/>
                <w:lang w:val="en-US" w:eastAsia="zh-CN"/>
              </w:rPr>
            </w:pPr>
            <w:r>
              <w:rPr>
                <w:rFonts w:hint="eastAsia"/>
                <w:sz w:val="22"/>
              </w:rPr>
              <w:t>≥</w:t>
            </w:r>
            <w:r>
              <w:rPr>
                <w:rFonts w:hint="eastAsia"/>
                <w:sz w:val="22"/>
                <w:lang w:val="en-US" w:eastAsia="zh-CN"/>
              </w:rPr>
              <w:t>15%</w:t>
            </w:r>
          </w:p>
        </w:tc>
        <w:tc>
          <w:tcPr>
            <w:tcW w:w="750" w:type="dxa"/>
            <w:tcBorders>
              <w:left w:val="single" w:color="auto" w:sz="4" w:space="0"/>
              <w:bottom w:val="single" w:color="auto" w:sz="4" w:space="0"/>
            </w:tcBorders>
            <w:noWrap w:val="0"/>
            <w:vAlign w:val="center"/>
          </w:tcPr>
          <w:p>
            <w:pPr>
              <w:spacing w:line="240" w:lineRule="atLeast"/>
              <w:jc w:val="center"/>
              <w:rPr>
                <w:rFonts w:hint="eastAsia" w:ascii="仿宋_GB2312" w:hAnsi="仿宋" w:eastAsia="仿宋_GB2312"/>
                <w:sz w:val="24"/>
                <w:szCs w:val="24"/>
                <w:lang w:eastAsia="zh-CN"/>
              </w:rPr>
            </w:pPr>
            <w:r>
              <w:rPr>
                <w:rFonts w:hint="eastAsia" w:ascii="仿宋_GB2312" w:hAnsi="仿宋"/>
                <w:sz w:val="24"/>
                <w:szCs w:val="24"/>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2" w:hRule="atLeast"/>
        </w:trPr>
        <w:tc>
          <w:tcPr>
            <w:tcW w:w="671" w:type="dxa"/>
            <w:vMerge w:val="continue"/>
            <w:tcBorders>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p>
        </w:tc>
        <w:tc>
          <w:tcPr>
            <w:tcW w:w="4305" w:type="dxa"/>
            <w:tcBorders>
              <w:top w:val="single" w:color="auto" w:sz="4" w:space="0"/>
              <w:left w:val="single" w:color="auto" w:sz="4" w:space="0"/>
              <w:right w:val="single" w:color="auto" w:sz="4" w:space="0"/>
            </w:tcBorders>
            <w:noWrap w:val="0"/>
            <w:vAlign w:val="center"/>
          </w:tcPr>
          <w:p>
            <w:pPr>
              <w:spacing w:line="240" w:lineRule="atLeast"/>
              <w:jc w:val="left"/>
              <w:rPr>
                <w:rFonts w:hint="eastAsia" w:ascii="仿宋_GB2312" w:hAnsi="仿宋"/>
                <w:spacing w:val="-10"/>
                <w:sz w:val="24"/>
                <w:szCs w:val="24"/>
              </w:rPr>
            </w:pPr>
            <w:r>
              <w:rPr>
                <w:rFonts w:hint="eastAsia" w:ascii="FangSong_GB2312" w:hAnsi="FangSong_GB2312" w:eastAsia="FangSong_GB2312"/>
                <w:sz w:val="24"/>
              </w:rPr>
              <w:t>大专以上研发人员占比研发人员比例（%）</w:t>
            </w:r>
          </w:p>
        </w:tc>
        <w:tc>
          <w:tcPr>
            <w:tcW w:w="1943" w:type="dxa"/>
            <w:tcBorders>
              <w:top w:val="single" w:color="auto" w:sz="4" w:space="0"/>
              <w:left w:val="single" w:color="auto" w:sz="4" w:space="0"/>
              <w:right w:val="single" w:color="auto" w:sz="4" w:space="0"/>
            </w:tcBorders>
            <w:noWrap w:val="0"/>
            <w:vAlign w:val="center"/>
          </w:tcPr>
          <w:p>
            <w:pPr>
              <w:jc w:val="center"/>
              <w:rPr>
                <w:rFonts w:hint="eastAsia" w:ascii="仿宋_GB2312" w:hAnsi="仿宋" w:eastAsia="仿宋_GB2312"/>
                <w:sz w:val="24"/>
                <w:szCs w:val="24"/>
                <w:lang w:val="en-US" w:eastAsia="zh-CN"/>
              </w:rPr>
            </w:pPr>
            <w:r>
              <w:rPr>
                <w:rFonts w:hint="eastAsia"/>
                <w:sz w:val="22"/>
              </w:rPr>
              <w:t>≥50</w:t>
            </w:r>
            <w:r>
              <w:rPr>
                <w:rFonts w:hint="eastAsia"/>
                <w:sz w:val="22"/>
                <w:lang w:val="en-US" w:eastAsia="zh-CN"/>
              </w:rPr>
              <w:t>%</w:t>
            </w:r>
          </w:p>
        </w:tc>
        <w:tc>
          <w:tcPr>
            <w:tcW w:w="750" w:type="dxa"/>
            <w:vMerge w:val="restart"/>
            <w:tcBorders>
              <w:left w:val="single" w:color="auto" w:sz="4" w:space="0"/>
            </w:tcBorders>
            <w:noWrap w:val="0"/>
            <w:vAlign w:val="center"/>
          </w:tcPr>
          <w:p>
            <w:pPr>
              <w:jc w:val="center"/>
              <w:rPr>
                <w:rFonts w:hint="default" w:ascii="仿宋_GB2312" w:hAnsi="仿宋" w:eastAsia="仿宋_GB2312"/>
                <w:sz w:val="24"/>
                <w:szCs w:val="24"/>
                <w:lang w:val="en-US" w:eastAsia="zh-CN"/>
              </w:rPr>
            </w:pPr>
            <w:r>
              <w:rPr>
                <w:rFonts w:hint="eastAsia"/>
                <w:sz w:val="22"/>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c>
          <w:tcPr>
            <w:tcW w:w="17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研究开发设备</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r>
              <w:rPr>
                <w:rFonts w:hint="eastAsia" w:ascii="仿宋_GB2312" w:hAnsi="仿宋"/>
                <w:sz w:val="24"/>
                <w:szCs w:val="24"/>
              </w:rPr>
              <w:t>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研究开发仪器设备原值（万元）</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30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60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140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6</w:t>
            </w:r>
          </w:p>
        </w:tc>
        <w:tc>
          <w:tcPr>
            <w:tcW w:w="1713" w:type="dxa"/>
            <w:vMerge w:val="restart"/>
            <w:tcBorders>
              <w:top w:val="single" w:color="auto" w:sz="4" w:space="0"/>
              <w:left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研究开发投入</w:t>
            </w:r>
          </w:p>
          <w:p>
            <w:pPr>
              <w:spacing w:line="240" w:lineRule="atLeast"/>
              <w:jc w:val="center"/>
              <w:rPr>
                <w:rFonts w:ascii="仿宋_GB2312" w:hAnsi="仿宋"/>
                <w:sz w:val="24"/>
                <w:szCs w:val="24"/>
              </w:rPr>
            </w:pPr>
            <w:r>
              <w:rPr>
                <w:rFonts w:hint="eastAsia" w:ascii="仿宋_GB2312" w:hAnsi="仿宋"/>
                <w:sz w:val="24"/>
                <w:szCs w:val="24"/>
              </w:rPr>
              <w:t>（22分）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上年度研发经费占比销售收入比例</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3%</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4%</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5%</w:t>
            </w:r>
            <w:r>
              <w:rPr>
                <w:rFonts w:hint="eastAsia" w:ascii="仿宋_GB2312" w:hAnsi="仿宋"/>
                <w:sz w:val="24"/>
                <w:szCs w:val="24"/>
              </w:rPr>
              <w:t>或者</w:t>
            </w:r>
            <w:r>
              <w:rPr>
                <w:rFonts w:ascii="仿宋_GB2312" w:hAnsi="仿宋"/>
                <w:sz w:val="24"/>
                <w:szCs w:val="24"/>
              </w:rPr>
              <w:t>1000</w:t>
            </w:r>
            <w:r>
              <w:rPr>
                <w:rFonts w:hint="eastAsia" w:ascii="仿宋_GB2312" w:hAnsi="仿宋"/>
                <w:sz w:val="24"/>
                <w:szCs w:val="24"/>
              </w:rPr>
              <w:t>万以上</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产学研合作机构情况</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hAnsi="仿宋"/>
                <w:sz w:val="24"/>
                <w:szCs w:val="24"/>
              </w:rPr>
            </w:pPr>
            <w:r>
              <w:rPr>
                <w:rFonts w:hint="eastAsia" w:ascii="仿宋_GB2312" w:hAnsi="仿宋"/>
                <w:sz w:val="24"/>
                <w:szCs w:val="24"/>
              </w:rPr>
              <w:t>有</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7</w:t>
            </w:r>
          </w:p>
        </w:tc>
        <w:tc>
          <w:tcPr>
            <w:tcW w:w="17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知识产权</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r>
              <w:rPr>
                <w:rFonts w:hint="eastAsia" w:ascii="仿宋_GB2312" w:hAnsi="仿宋"/>
                <w:sz w:val="24"/>
                <w:szCs w:val="24"/>
              </w:rPr>
              <w:t>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近</w:t>
            </w:r>
            <w:r>
              <w:rPr>
                <w:rFonts w:ascii="仿宋_GB2312" w:hAnsi="仿宋"/>
                <w:sz w:val="24"/>
                <w:szCs w:val="24"/>
              </w:rPr>
              <w:t>3</w:t>
            </w:r>
            <w:r>
              <w:rPr>
                <w:rFonts w:hint="eastAsia" w:ascii="仿宋_GB2312" w:hAnsi="仿宋"/>
                <w:sz w:val="24"/>
                <w:szCs w:val="24"/>
              </w:rPr>
              <w:t>年获得授权实用新型专利（件）（</w:t>
            </w:r>
            <w:r>
              <w:rPr>
                <w:rFonts w:ascii="仿宋_GB2312" w:hAnsi="仿宋"/>
                <w:sz w:val="24"/>
                <w:szCs w:val="24"/>
              </w:rPr>
              <w:t>1</w:t>
            </w:r>
            <w:r>
              <w:rPr>
                <w:rFonts w:hint="eastAsia" w:ascii="仿宋_GB2312" w:hAnsi="仿宋"/>
                <w:sz w:val="24"/>
                <w:szCs w:val="24"/>
              </w:rPr>
              <w:t>件发明专利视同</w:t>
            </w:r>
            <w:r>
              <w:rPr>
                <w:rFonts w:ascii="仿宋_GB2312" w:hAnsi="仿宋"/>
                <w:sz w:val="24"/>
                <w:szCs w:val="24"/>
              </w:rPr>
              <w:t>4</w:t>
            </w:r>
            <w:r>
              <w:rPr>
                <w:rFonts w:hint="eastAsia" w:ascii="仿宋_GB2312" w:hAnsi="仿宋"/>
                <w:sz w:val="24"/>
                <w:szCs w:val="24"/>
              </w:rPr>
              <w:t>件实用新型专利，软件著作权视同实用新型专利）</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3</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4</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2384" w:type="dxa"/>
            <w:gridSpan w:val="2"/>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加分项</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r>
              <w:rPr>
                <w:rFonts w:hint="eastAsia" w:ascii="仿宋_GB2312" w:hAnsi="仿宋"/>
                <w:sz w:val="24"/>
                <w:szCs w:val="24"/>
              </w:rPr>
              <w:t>）</w:t>
            </w:r>
          </w:p>
        </w:tc>
        <w:tc>
          <w:tcPr>
            <w:tcW w:w="624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高新技术企业</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2384" w:type="dxa"/>
            <w:gridSpan w:val="2"/>
            <w:vMerge w:val="continue"/>
            <w:tcBorders>
              <w:top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6248" w:type="dxa"/>
            <w:gridSpan w:val="2"/>
            <w:tcBorders>
              <w:top w:val="single" w:color="auto" w:sz="4" w:space="0"/>
              <w:left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参与国家或者行业标准制（修）订</w:t>
            </w:r>
          </w:p>
        </w:tc>
        <w:tc>
          <w:tcPr>
            <w:tcW w:w="750" w:type="dxa"/>
            <w:tcBorders>
              <w:top w:val="single" w:color="auto" w:sz="4" w:space="0"/>
              <w:lef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bl>
    <w:p>
      <w:pPr>
        <w:widowControl/>
        <w:ind w:firstLine="640" w:firstLineChars="200"/>
        <w:jc w:val="left"/>
        <w:rPr>
          <w:rFonts w:ascii="黑体" w:hAnsi="黑体" w:eastAsia="黑体"/>
          <w:sz w:val="32"/>
        </w:rPr>
      </w:pPr>
      <w:r>
        <w:rPr>
          <w:rFonts w:hint="eastAsia" w:ascii="黑体" w:hAnsi="黑体" w:eastAsia="黑体"/>
          <w:sz w:val="32"/>
          <w:lang w:eastAsia="zh-CN"/>
        </w:rPr>
        <w:t>三</w:t>
      </w:r>
      <w:r>
        <w:rPr>
          <w:rFonts w:hint="eastAsia" w:ascii="黑体" w:hAnsi="黑体" w:eastAsia="黑体"/>
          <w:sz w:val="32"/>
        </w:rPr>
        <w:t>、所需材料及提供方式</w:t>
      </w:r>
    </w:p>
    <w:tbl>
      <w:tblPr>
        <w:tblStyle w:val="2"/>
        <w:tblW w:w="884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76"/>
        <w:gridCol w:w="2351"/>
        <w:gridCol w:w="2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所需材料</w:t>
            </w:r>
          </w:p>
        </w:tc>
        <w:tc>
          <w:tcPr>
            <w:tcW w:w="2351"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w:t>
            </w:r>
          </w:p>
        </w:tc>
        <w:tc>
          <w:tcPr>
            <w:tcW w:w="2520"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．工程（技术）中心申请表</w:t>
            </w:r>
          </w:p>
        </w:tc>
        <w:tc>
          <w:tcPr>
            <w:tcW w:w="2351" w:type="dxa"/>
            <w:noWrap w:val="0"/>
            <w:vAlign w:val="center"/>
          </w:tcPr>
          <w:p>
            <w:pPr>
              <w:widowControl/>
              <w:jc w:val="center"/>
              <w:rPr>
                <w:rFonts w:ascii="仿宋_GB2312" w:hAnsi="仿宋" w:eastAsia="仿宋_GB2312"/>
                <w:sz w:val="24"/>
                <w:szCs w:val="24"/>
              </w:rPr>
            </w:pPr>
            <w:r>
              <w:rPr>
                <w:rFonts w:ascii="仿宋_GB2312" w:hAnsi="仿宋" w:eastAsia="仿宋_GB2312"/>
                <w:sz w:val="24"/>
                <w:szCs w:val="24"/>
              </w:rPr>
              <w:t>/</w:t>
            </w:r>
          </w:p>
        </w:tc>
        <w:tc>
          <w:tcPr>
            <w:tcW w:w="252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rPr>
                <w:rFonts w:ascii="仿宋_GB2312" w:hAnsi="仿宋" w:eastAsia="仿宋_GB2312"/>
                <w:sz w:val="24"/>
                <w:szCs w:val="24"/>
              </w:rPr>
            </w:pPr>
            <w:r>
              <w:rPr>
                <w:rFonts w:hint="eastAsia" w:ascii="仿宋_GB2312" w:hAnsi="仿宋" w:eastAsia="仿宋_GB2312"/>
                <w:sz w:val="24"/>
                <w:szCs w:val="24"/>
              </w:rPr>
              <w:t>2．前三年度财务报表</w:t>
            </w:r>
          </w:p>
        </w:tc>
        <w:tc>
          <w:tcPr>
            <w:tcW w:w="2351"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52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rPr>
                <w:rFonts w:ascii="仿宋_GB2312" w:hAnsi="仿宋" w:eastAsia="仿宋_GB2312"/>
                <w:sz w:val="24"/>
                <w:szCs w:val="24"/>
              </w:rPr>
            </w:pPr>
            <w:r>
              <w:rPr>
                <w:rFonts w:hint="eastAsia" w:ascii="仿宋_GB2312" w:hAnsi="仿宋" w:eastAsia="仿宋_GB2312"/>
                <w:sz w:val="24"/>
                <w:szCs w:val="24"/>
              </w:rPr>
              <w:t>3．研发费归集表</w:t>
            </w:r>
          </w:p>
        </w:tc>
        <w:tc>
          <w:tcPr>
            <w:tcW w:w="2351"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52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rPr>
                <w:rFonts w:ascii="仿宋_GB2312" w:hAnsi="仿宋" w:eastAsia="仿宋_GB2312"/>
                <w:sz w:val="24"/>
                <w:szCs w:val="24"/>
              </w:rPr>
            </w:pPr>
            <w:r>
              <w:rPr>
                <w:rFonts w:hint="eastAsia" w:ascii="仿宋_GB2312" w:hAnsi="仿宋" w:eastAsia="仿宋_GB2312"/>
                <w:sz w:val="24"/>
                <w:szCs w:val="24"/>
              </w:rPr>
              <w:t>4．专利信息</w:t>
            </w:r>
          </w:p>
        </w:tc>
        <w:tc>
          <w:tcPr>
            <w:tcW w:w="2351"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52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widowControl/>
              <w:rPr>
                <w:rFonts w:ascii="仿宋_GB2312" w:hAnsi="仿宋" w:eastAsia="仿宋_GB2312"/>
                <w:sz w:val="24"/>
                <w:szCs w:val="24"/>
              </w:rPr>
            </w:pPr>
            <w:r>
              <w:rPr>
                <w:rFonts w:hint="eastAsia" w:ascii="仿宋_GB2312" w:hAnsi="仿宋" w:eastAsia="仿宋_GB2312"/>
                <w:sz w:val="24"/>
                <w:szCs w:val="24"/>
              </w:rPr>
              <w:t>5．新产品收入明细</w:t>
            </w:r>
          </w:p>
        </w:tc>
        <w:tc>
          <w:tcPr>
            <w:tcW w:w="2351"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52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widowControl/>
              <w:rPr>
                <w:rFonts w:ascii="仿宋_GB2312" w:hAnsi="仿宋" w:eastAsia="仿宋_GB2312"/>
                <w:sz w:val="24"/>
                <w:szCs w:val="24"/>
              </w:rPr>
            </w:pPr>
            <w:r>
              <w:rPr>
                <w:rFonts w:hint="eastAsia" w:ascii="仿宋_GB2312" w:hAnsi="仿宋" w:eastAsia="仿宋_GB2312"/>
                <w:sz w:val="24"/>
                <w:szCs w:val="24"/>
              </w:rPr>
              <w:t>6．研发人员、设备清单</w:t>
            </w:r>
          </w:p>
        </w:tc>
        <w:tc>
          <w:tcPr>
            <w:tcW w:w="2351"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52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widowControl/>
              <w:rPr>
                <w:rFonts w:ascii="仿宋_GB2312" w:hAnsi="仿宋" w:eastAsia="仿宋_GB2312"/>
                <w:sz w:val="24"/>
                <w:szCs w:val="24"/>
              </w:rPr>
            </w:pPr>
            <w:r>
              <w:rPr>
                <w:rFonts w:hint="eastAsia" w:ascii="仿宋_GB2312" w:hAnsi="仿宋" w:eastAsia="仿宋_GB2312"/>
                <w:sz w:val="24"/>
                <w:szCs w:val="24"/>
              </w:rPr>
              <w:t>7．科技统计报表</w:t>
            </w:r>
          </w:p>
        </w:tc>
        <w:tc>
          <w:tcPr>
            <w:tcW w:w="2351"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52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tcBorders>
              <w:bottom w:val="single" w:color="auto" w:sz="8" w:space="0"/>
            </w:tcBorders>
            <w:noWrap w:val="0"/>
            <w:vAlign w:val="center"/>
          </w:tcPr>
          <w:p>
            <w:pPr>
              <w:widowControl/>
              <w:rPr>
                <w:rFonts w:ascii="仿宋_GB2312" w:hAnsi="仿宋" w:eastAsia="仿宋_GB2312"/>
                <w:sz w:val="24"/>
                <w:szCs w:val="24"/>
              </w:rPr>
            </w:pPr>
            <w:r>
              <w:rPr>
                <w:rFonts w:hint="eastAsia" w:ascii="仿宋_GB2312" w:hAnsi="仿宋" w:eastAsia="仿宋_GB2312"/>
                <w:sz w:val="24"/>
                <w:szCs w:val="24"/>
              </w:rPr>
              <w:t>8．评分表</w:t>
            </w:r>
          </w:p>
        </w:tc>
        <w:tc>
          <w:tcPr>
            <w:tcW w:w="2351" w:type="dxa"/>
            <w:tcBorders>
              <w:bottom w:val="single" w:color="auto" w:sz="8" w:space="0"/>
            </w:tcBorders>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520" w:type="dxa"/>
            <w:tcBorders>
              <w:bottom w:val="single" w:color="auto" w:sz="8" w:space="0"/>
            </w:tcBorders>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FED20"/>
    <w:multiLevelType w:val="singleLevel"/>
    <w:tmpl w:val="45DFED2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33462"/>
    <w:rsid w:val="44833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2020-09-15T07:48:00Z</dcterms:created>
  <dc:creator>Sunny</dc:creator>
  <cp:lastModifiedBy>Sunny</cp:lastModifiedBy>
  <dcterms:modified xsi:type="dcterms:W3CDTF">2020-09-15T07:49:07Z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