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创艺简标宋" w:hAnsi="创艺简标宋" w:eastAsia="创艺简标宋" w:cs="创艺简标宋"/>
          <w:spacing w:val="-4"/>
          <w:sz w:val="44"/>
          <w:szCs w:val="44"/>
          <w:lang w:eastAsia="zh-CN"/>
        </w:rPr>
      </w:pPr>
      <w:r>
        <w:rPr>
          <w:rFonts w:hint="eastAsia" w:ascii="创艺简标宋" w:hAnsi="创艺简标宋" w:eastAsia="创艺简标宋" w:cs="创艺简标宋"/>
          <w:spacing w:val="-4"/>
          <w:sz w:val="44"/>
          <w:szCs w:val="44"/>
        </w:rPr>
        <w:t>政府信息公开情况统计表</w:t>
      </w:r>
    </w:p>
    <w:p>
      <w:pPr>
        <w:spacing w:line="400" w:lineRule="exact"/>
        <w:rPr>
          <w:rFonts w:hint="eastAsia" w:ascii="黑体" w:hAnsi="黑体" w:eastAsia="黑体" w:cs="黑体"/>
          <w:sz w:val="30"/>
          <w:szCs w:val="30"/>
        </w:rPr>
      </w:pPr>
    </w:p>
    <w:p>
      <w:pPr>
        <w:spacing w:line="40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黑体" w:hAnsi="黑体" w:eastAsia="黑体" w:cs="黑体"/>
          <w:sz w:val="30"/>
          <w:szCs w:val="30"/>
        </w:rPr>
        <w:t>一、主动公开政府信息情况</w:t>
      </w: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制发件数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废止件数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规章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行政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规范性文件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行政许可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行政处罚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行政强制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行政事业性收费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spacing w:line="400" w:lineRule="exac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before="312" w:beforeLines="100" w:after="156" w:afterLines="50" w:line="400" w:lineRule="exact"/>
        <w:outlineLvl w:val="0"/>
        <w:rPr>
          <w:rFonts w:hint="default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</w:rPr>
        <w:t>二、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收到和处理政府信息公开申请情况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481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5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</w:t>
            </w: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法人或其他组织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商业企业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科研机构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社会公益组织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法律服务机构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二、上年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FFFFF"/>
              </w:rPr>
              <w:t>结转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三、本年度办理结果</w:t>
            </w: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（一）予以公开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（三）不予公开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1.属于国家秘密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3.危及“三安全一稳定”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4.保护第三方合法权益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5.属于三类内部事务信息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6.属于四类过程性信息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7.属于行政执法案卷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8.属于行政查询事项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（四）无法提供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1.本机关不掌握相关政府信息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2.没有现成信息需要另行制作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3.补正后申请内容仍不明确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（五）不予处理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1.信访举报投诉类申请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3.要求提供公开出版物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4.无正当理由大量反复申请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（六）其他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处理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FFFFF"/>
              </w:rPr>
              <w:t>2.申请人逾期未按收费通知要求缴纳费用、行政机关不再处理其政府信息公开申请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FFFFF"/>
              </w:rPr>
              <w:t>3.其他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（七）总计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FFFFF"/>
              </w:rPr>
              <w:t>结转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下年度继续办理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spacing w:before="312" w:beforeLines="100" w:after="156" w:afterLines="50" w:line="400" w:lineRule="exact"/>
        <w:outlineLvl w:val="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三、政府信息公开行政复议、行政诉讼情况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行政复议</w:t>
            </w:r>
          </w:p>
        </w:tc>
        <w:tc>
          <w:tcPr>
            <w:tcW w:w="5531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76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未经复议直接起诉</w:t>
            </w:r>
          </w:p>
        </w:tc>
        <w:tc>
          <w:tcPr>
            <w:tcW w:w="27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spacing w:before="312" w:beforeLines="100" w:after="156" w:afterLines="50" w:line="400" w:lineRule="exact"/>
        <w:outlineLvl w:val="0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其他数据</w:t>
      </w:r>
    </w:p>
    <w:p>
      <w:pPr>
        <w:numPr>
          <w:ilvl w:val="0"/>
          <w:numId w:val="0"/>
        </w:numPr>
        <w:spacing w:before="312" w:beforeLines="100" w:after="156" w:afterLines="50" w:line="400" w:lineRule="exact"/>
        <w:outlineLvl w:val="0"/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（一）不同渠道公开信息情况</w:t>
      </w:r>
    </w:p>
    <w:tbl>
      <w:tblPr>
        <w:tblStyle w:val="2"/>
        <w:tblW w:w="0" w:type="auto"/>
        <w:jc w:val="center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5"/>
        <w:gridCol w:w="806"/>
        <w:gridCol w:w="1619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bookmarkStart w:id="0" w:name="_Hlk26876326"/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统　计　指　标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单位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　　（一）主动公开政府信息数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ind w:firstLine="864" w:firstLineChars="450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（不同渠道和方式公开相同信息计1条）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default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val="en-US" w:eastAsia="zh-CN"/>
              </w:rPr>
              <w:t>432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default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eastAsia="zh-CN"/>
              </w:rPr>
              <w:t>——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bookmarkStart w:id="1" w:name="_GoBack"/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　　　　　1.政府公报公开政府信息数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default" w:ascii="宋体" w:hAnsi="宋体" w:eastAsia="宋体" w:cs="宋体"/>
                <w:snapToGrid w:val="0"/>
                <w:color w:val="auto"/>
                <w:spacing w:val="-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-4"/>
                <w:kern w:val="0"/>
                <w:sz w:val="20"/>
                <w:szCs w:val="20"/>
                <w:lang w:val="en-US" w:eastAsia="zh-CN"/>
              </w:rPr>
              <w:t>386</w:t>
            </w:r>
          </w:p>
        </w:tc>
      </w:tr>
      <w:bookmarkEnd w:id="1"/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　　　　　2.政府网站公开政府信息数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default" w:ascii="宋体" w:hAnsi="宋体" w:eastAsia="宋体" w:cs="宋体"/>
                <w:snapToGrid w:val="0"/>
                <w:color w:val="auto"/>
                <w:spacing w:val="-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-4"/>
                <w:kern w:val="0"/>
                <w:sz w:val="20"/>
                <w:szCs w:val="20"/>
                <w:lang w:val="en-US" w:eastAsia="zh-CN"/>
              </w:rPr>
              <w:t>215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　　　　　3.政务微博公开政府信息数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default" w:ascii="宋体" w:hAnsi="宋体" w:eastAsia="宋体" w:cs="宋体"/>
                <w:snapToGrid w:val="0"/>
                <w:color w:val="auto"/>
                <w:spacing w:val="-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-4"/>
                <w:kern w:val="0"/>
                <w:sz w:val="20"/>
                <w:szCs w:val="20"/>
                <w:lang w:val="en-US" w:eastAsia="zh-CN"/>
              </w:rPr>
              <w:t>289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　　　　　4.政务微信公开政府信息数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default" w:ascii="宋体" w:hAnsi="宋体" w:eastAsia="宋体" w:cs="宋体"/>
                <w:snapToGrid w:val="0"/>
                <w:color w:val="auto"/>
                <w:spacing w:val="-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-4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　　　　　5.其他方式公开政府信息数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default" w:ascii="宋体" w:hAnsi="宋体" w:eastAsia="宋体" w:cs="宋体"/>
                <w:snapToGrid w:val="0"/>
                <w:color w:val="auto"/>
                <w:spacing w:val="-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-4"/>
                <w:kern w:val="0"/>
                <w:sz w:val="20"/>
                <w:szCs w:val="20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　　（三）回应公众关注热点或重大舆情数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　　　　（不同方式回应同一热点或舆情计1次）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　　（四）通过不同渠道和方式回应解读的情况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eastAsia="zh-CN"/>
              </w:rPr>
              <w:t>——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　　　　　1.参加或举办新闻发布会总次数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　　　　　　其中：主要负责同志参加新闻发布会次数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　　　　　2.政府网站在线访谈次数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　　　　　3.政策解读稿件发布数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篇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　　　　　4.微博微信回应事件数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　　　　　5.其他方式回应事件数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bookmarkEnd w:id="0"/>
    </w:tbl>
    <w:p>
      <w:pPr>
        <w:numPr>
          <w:ilvl w:val="0"/>
          <w:numId w:val="0"/>
        </w:numPr>
        <w:spacing w:before="312" w:beforeLines="100" w:after="156" w:afterLines="50" w:line="400" w:lineRule="exact"/>
        <w:outlineLvl w:val="0"/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（二）机构建设情况</w:t>
      </w:r>
    </w:p>
    <w:tbl>
      <w:tblPr>
        <w:tblStyle w:val="2"/>
        <w:tblW w:w="0" w:type="auto"/>
        <w:jc w:val="center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8"/>
        <w:gridCol w:w="750"/>
        <w:gridCol w:w="1222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统　计　指　标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单位</w:t>
            </w:r>
          </w:p>
        </w:tc>
        <w:tc>
          <w:tcPr>
            <w:tcW w:w="12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6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（一）机构建设、保障经费情况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——</w:t>
            </w:r>
          </w:p>
        </w:tc>
        <w:tc>
          <w:tcPr>
            <w:tcW w:w="12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　　1.政府信息公开工作专门机构数</w:t>
            </w: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val="en-US" w:eastAsia="zh-CN"/>
              </w:rPr>
              <w:t>设置政务公开科</w:t>
            </w: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个</w:t>
            </w:r>
          </w:p>
        </w:tc>
        <w:tc>
          <w:tcPr>
            <w:tcW w:w="12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　　2.设置政府信息公开查阅点数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个</w:t>
            </w:r>
          </w:p>
        </w:tc>
        <w:tc>
          <w:tcPr>
            <w:tcW w:w="12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　　3.从事政府信息公开工作人员数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人</w:t>
            </w:r>
          </w:p>
        </w:tc>
        <w:tc>
          <w:tcPr>
            <w:tcW w:w="12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　　　专职人员数</w:t>
            </w: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val="en-US" w:eastAsia="zh-CN"/>
              </w:rPr>
              <w:t>设置科室，专人专岗，</w:t>
            </w: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不包括政府公报及政府网站工作人员数）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人</w:t>
            </w:r>
          </w:p>
        </w:tc>
        <w:tc>
          <w:tcPr>
            <w:tcW w:w="12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　　　兼职人员数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人</w:t>
            </w:r>
          </w:p>
        </w:tc>
        <w:tc>
          <w:tcPr>
            <w:tcW w:w="12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ind w:firstLine="384" w:firstLineChars="200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.政府信息公开专项经费（不包括用于政府公报编辑管理及政府网站建设维护等方面的经费）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</w:rPr>
              <w:t>万元</w:t>
            </w:r>
          </w:p>
        </w:tc>
        <w:tc>
          <w:tcPr>
            <w:tcW w:w="12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-4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CDE217"/>
    <w:multiLevelType w:val="singleLevel"/>
    <w:tmpl w:val="62CDE21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C5157"/>
    <w:rsid w:val="3C2F2BC1"/>
    <w:rsid w:val="51EC5157"/>
    <w:rsid w:val="54D2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仿宋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2021-12-28T06:05:00Z</dcterms:created>
  <dc:creator>StorM</dc:creator>
  <cp:lastModifiedBy>StorM</cp:lastModifiedBy>
  <dcterms:modified xsi:type="dcterms:W3CDTF">2021-12-30T06:56:36Z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EE647AB2E99C4E1CB18D66728F199613</vt:lpwstr>
  </property>
</Properties>
</file>