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宁海县人力资源和社会保障局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本年报根据《中华人民共和国政府信息公开条例》（以下简《条例》）的要求，按照2021年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宁海县人力资源和社会保障局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信息公开工作实际编制而成。本年报由总体情况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主动公开政府信息情况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收到和处理政府信息公开申请情况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政府信息公开行政复议、行政诉讼情况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存在的主要问题及改进情况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其他需要报告的事项等六个部分组成。本年报中所列数据的统计日期自2021年1月1日起至2021年12月31日止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。如对本年报有任何疑问，请与本单位联系（地址：宁海县桃源街道气象北路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778号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，邮编：315600，电话：05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59971570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县人力社保局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高度重视政务公开工作，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进一步理顺和完善领导体制、工作机制，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根据《中华人民共和国政府信息公开条例》的规定和要求，认真贯彻落实省、市、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有关信息公开工作文件精神，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紧密围绕“围绕中心、服务大局、民生为本、人才优先”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工作主线，进一步加强制度建设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畅通公开渠道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加大公开力度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、提升公开实效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（一）主动公开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人力社保局作为重要的民生部门，始终坚持“以公开为常态、不公开为例外”的原则，持续深化人社领域政府信息公开。进一步完善就业创业、社会保障、劳动维权等与群众切身利益密切相关领域的信息公开机制，及时发布事业单位人事考录、行政许可审批事项、“六稳”、“六保”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疫情防控等相关信息。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2021年累计主动公开信息716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条，其中政府网站公开450条，政务微博公开32条，政务微信公开234条。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（二）依申请公开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政治站位，健全完善依申请公开答复流程，落实办公室专人流转落实、科室（局属单位）负责人沟通答复、分管领导审核负责等闭环流程，确保程序合法、流程合规。积极参与县政府组织的业务培训和案例指导，不断提升依申请公开答复规范化水平。本年度受理依申请公开0件，无行政复议和行政诉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（三）政府信息管理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遵循“谁公开、谁审查、谁负责”原则，健全完善信息公开保密审查制度。主动开辟信息发布渠道，强化政策解读。不仅在政务公开网、局网站等官方网站上优先发布消息，每周定期更新“宁海人社”局公众号，增加发布条数、丰富发布内容，还积极将有关民生保障的利好政策第一时间投稿至“宁海发布”等新媒体发布渠道，着力让公开覆盖面更广。此外，通过“百姓事马上办”“首问责任制”快速有效回应群众呼声、解答疑问，本年度处理200余条，满意率达98%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（四）政府信息公开平台建设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常规化强化官方网站信息发布的同时，本年度重点做好人社部门政务新媒体管理，发挥省政务新媒体管理平台作用，做好信息发布审核和前置风险识别工作。发挥政务新媒体传播优势，加强重要政策文件和民生信息推送，探索开辟公众号服务应用功能，如就业招聘、社保参保等。目前，“宁海人社”微信公众号的关注人数为7292人，较去年增长21.5%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（五）监督保障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/>
          <w:color w:val="0000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健全领导小组机制，根据科室（局属单位）人员调动及时更新调整领导小组成员并强化培训，加强网上报送信息审批制度建设。此外，实行网站更新定期自查制度，努力保障政务公开工作的规范性和连续性。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2021年未发生因投诉、举报等被追究责任情况。</w:t>
      </w:r>
    </w:p>
    <w:p>
      <w:pPr>
        <w:spacing w:line="400" w:lineRule="exact"/>
        <w:ind w:firstLine="60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二、</w:t>
      </w:r>
      <w:r>
        <w:rPr>
          <w:rFonts w:hint="eastAsia" w:ascii="黑体" w:hAnsi="黑体" w:eastAsia="黑体" w:cs="黑体"/>
          <w:sz w:val="30"/>
          <w:szCs w:val="30"/>
        </w:rPr>
        <w:t>主动公开政府信息情况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制发件数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行政许可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行政处罚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行政强制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行政事业性收费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61.59</w:t>
            </w:r>
          </w:p>
        </w:tc>
      </w:tr>
    </w:tbl>
    <w:p>
      <w:pPr>
        <w:spacing w:before="312" w:beforeLines="100" w:after="156" w:afterLines="50" w:line="400" w:lineRule="exact"/>
        <w:ind w:firstLine="600" w:firstLineChars="200"/>
        <w:outlineLvl w:val="0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三、收到和处理政府信息公开申请情况</w:t>
      </w:r>
    </w:p>
    <w:tbl>
      <w:tblPr>
        <w:tblStyle w:val="4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3.其他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pacing w:before="312" w:beforeLines="100" w:after="156" w:afterLines="50" w:line="400" w:lineRule="exact"/>
        <w:ind w:firstLine="600" w:firstLineChars="200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四、</w:t>
      </w:r>
      <w:r>
        <w:rPr>
          <w:rFonts w:hint="eastAsia" w:ascii="黑体" w:hAnsi="黑体" w:eastAsia="黑体"/>
          <w:sz w:val="30"/>
          <w:szCs w:val="30"/>
        </w:rPr>
        <w:t>政府信息公开行政复议、行政诉讼情况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以来，我局在推进政务公开工作方面做了一系列的探索与努力，但与上级要求和公众需求相比还存在较多不足，如政务公开队伍力量不足、信息公开仍不够及时、工作创新不够、亮点不多等问题，我们将从以下几方面进行改进：一是强化工作人员认真履职责任担当，通过加强培训，提高全局工作人员政务公开工作专业化水平；二是密切关注企业与群众的政策需求，对症开方回应诉求；三是结合“互联网+”新形势新要求，积极探索政务公开平台建设，创新政策解读、图解发布等新方式，让群众喜闻乐见、乐于接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本机关2021年未发出依申请公开缴款通知书，也未对申请人收取信息处理费，特此说明。</w:t>
      </w:r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D4FFA"/>
    <w:multiLevelType w:val="singleLevel"/>
    <w:tmpl w:val="7C6D4FF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16365"/>
    <w:rsid w:val="06273853"/>
    <w:rsid w:val="07016436"/>
    <w:rsid w:val="0F3F6837"/>
    <w:rsid w:val="19454CFD"/>
    <w:rsid w:val="25082B7F"/>
    <w:rsid w:val="26C05096"/>
    <w:rsid w:val="357710ED"/>
    <w:rsid w:val="3A620CA0"/>
    <w:rsid w:val="3B492856"/>
    <w:rsid w:val="415C2072"/>
    <w:rsid w:val="42970746"/>
    <w:rsid w:val="4A7B5E4C"/>
    <w:rsid w:val="4C352187"/>
    <w:rsid w:val="5A100835"/>
    <w:rsid w:val="5C316365"/>
    <w:rsid w:val="63866431"/>
    <w:rsid w:val="6A9D1276"/>
    <w:rsid w:val="745C166E"/>
    <w:rsid w:val="7D9A48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200" w:firstLineChars="200"/>
    </w:pPr>
    <w:rPr>
      <w:sz w:val="21"/>
      <w:szCs w:val="22"/>
      <w:lang w:val="en-US" w:eastAsia="zh-CN" w:bidi="ar-SA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2B2B2B"/>
      <w:u w:val="none"/>
    </w:rPr>
  </w:style>
  <w:style w:type="character" w:styleId="8">
    <w:name w:val="HTML Definition"/>
    <w:basedOn w:val="5"/>
    <w:qFormat/>
    <w:uiPriority w:val="0"/>
    <w:rPr>
      <w:b/>
      <w:i/>
      <w:color w:val="000000"/>
      <w:sz w:val="31"/>
      <w:szCs w:val="31"/>
    </w:rPr>
  </w:style>
  <w:style w:type="character" w:styleId="9">
    <w:name w:val="Hyperlink"/>
    <w:basedOn w:val="5"/>
    <w:qFormat/>
    <w:uiPriority w:val="0"/>
    <w:rPr>
      <w:color w:val="2B2B2B"/>
      <w:u w:val="non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b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3">
    <w:name w:val="正-文"/>
    <w:basedOn w:val="1"/>
    <w:qFormat/>
    <w:uiPriority w:val="0"/>
    <w:pPr>
      <w:spacing w:line="560" w:lineRule="exact"/>
      <w:ind w:firstLine="640" w:firstLineChars="200"/>
      <w:jc w:val="both"/>
    </w:pPr>
    <w:rPr>
      <w:rFonts w:eastAsia="仿宋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2020-01-14T05:48:00Z</dcterms:created>
  <dc:creator>最萌一村照</dc:creator>
  <cp:lastModifiedBy>YXF</cp:lastModifiedBy>
  <dcterms:modified xsi:type="dcterms:W3CDTF">2022-02-28T06:23:03Z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