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宁海县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房屋征收管理中心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信息公开工作年报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本年报根据《中华人民共和国政府信息公开条例》（以下简称《条例》）的要求，按照2020年宁海房屋征收管理中心信息公开工作实际编制而成。本年报由总体情况、主动公开政府信息情况、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依申请公开政府信息情况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政府信息公开行政复议、行政诉讼情况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政府信息公开工作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存在的主要问题及改进措施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以及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其他需要报告的事项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等六个部分组成。本年报中所列数据的统计日期自2020年1月1日起至2020年12月31日止。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总体情况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有序推进政府信息公开工作，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细化了职责分工，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深化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信息公开内容，健全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工作机制，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由综合科负责信息公开的日常工作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形成领导协调、综合科具体负责，业务科室承办配合的机构体系，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通过准确及时的信息渠道和各科室的协调配合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保障了我中心政府信息公开工作的顺利开展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主动公开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及时按要求在网站更新政府信息公开指南、目录、年报，政府信息公开栏目日常维护及时、有效。全年我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共主动公开政府信息数累计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234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以其他方式公开政府信息数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依申请公开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2020年我中心共收到依申请公开21件，办结21件，全年依申请公开行政复议3件，诉讼案件0件。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政府信息管理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为提升信息发布的针对性，我中心优化信息发布，紧贴群众实际需求，及时、全面准确地公开群众关心关切的征迁事项。同时，为保证阳光征收，我中心对各征收地块进行征收补偿方案意见征集，2020年我中心征集意见共发布7条，收到反馈意见9条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平台建设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2020年我中心依托县政府门户网站的政府信息公开栏，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及时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有效的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更新政府信息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与此同时，“宁海征管中心”微信公众号也是我中心对外发布信息的重要载体，有效提升了宁海征迁工作的影响力和传播力。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监督保障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一是强化日常监督，确保工作实效。将政务公开工作与党风廉政建设综合进行检查、考评，鼓励广大干部、群众积极参与监督，积极反映公开过程中存在的突出问题，使公开工作更加扎实、有序开展。及时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整改落实，依据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第三方检测评估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反馈的问题，制定整改清单，明确整改时限，确保政务公开工作实效。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二是加强理论学习，注重学以致用。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积极参加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县政府办公室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举办的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政府信息公开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业务培训，组织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党员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干部开展《条例》专题培训，全面贯彻落实新条例有关规定精神。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积极组织业务骨干到法院旁听，学习做法，吸取经验，为更好的开展工作打牢基础。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Chars="200" w:firstLine="320" w:firstLineChars="100"/>
        <w:textAlignment w:val="auto"/>
        <w:outlineLvl w:val="9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二、主动公开政府信息情况</w:t>
      </w:r>
    </w:p>
    <w:tbl>
      <w:tblPr>
        <w:tblStyle w:val="3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605"/>
        <w:gridCol w:w="2268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信息内容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本年新制作数量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本年新公开数量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规章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规范性文件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信息内容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上一年项目数量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本年增/减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行政许可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其他对外管理服务事项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highlight w:val="none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highlight w:val="none"/>
              </w:rPr>
              <w:t>信息内容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highlight w:val="none"/>
              </w:rPr>
              <w:t>上一年项目数量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highlight w:val="none"/>
              </w:rPr>
              <w:t>本年增/减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highlight w:val="none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行政处罚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行政强制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信息内容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上一年项目数量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行政事业性收费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信息内容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采购项目数量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政府集中采购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3.8064万元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textAlignment w:val="auto"/>
        <w:outlineLvl w:val="9"/>
        <w:rPr>
          <w:rFonts w:hint="eastAsia" w:ascii="华文仿宋" w:hAnsi="华文仿宋" w:eastAsia="华文仿宋" w:cs="华文仿宋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依申请公开政府信息情况</w:t>
      </w:r>
    </w:p>
    <w:tbl>
      <w:tblPr>
        <w:tblStyle w:val="3"/>
        <w:tblW w:w="90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8"/>
        <w:gridCol w:w="1015"/>
        <w:gridCol w:w="1807"/>
        <w:gridCol w:w="861"/>
        <w:gridCol w:w="727"/>
        <w:gridCol w:w="727"/>
        <w:gridCol w:w="1018"/>
        <w:gridCol w:w="836"/>
        <w:gridCol w:w="495"/>
        <w:gridCol w:w="6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376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（本列数据的勾稽关系为：第一项加第二项之和，等于第三项加第四项之和）</w:t>
            </w:r>
          </w:p>
        </w:tc>
        <w:tc>
          <w:tcPr>
            <w:tcW w:w="531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6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861" w:type="dxa"/>
            <w:vMerge w:val="restart"/>
            <w:tcBorders>
              <w:top w:val="nil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自然人</w:t>
            </w:r>
          </w:p>
        </w:tc>
        <w:tc>
          <w:tcPr>
            <w:tcW w:w="380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法人或其他组织</w:t>
            </w:r>
          </w:p>
        </w:tc>
        <w:tc>
          <w:tcPr>
            <w:tcW w:w="64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6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86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商业企业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科研机构</w:t>
            </w:r>
          </w:p>
        </w:tc>
        <w:tc>
          <w:tcPr>
            <w:tcW w:w="10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社会公益组织</w:t>
            </w:r>
          </w:p>
        </w:tc>
        <w:tc>
          <w:tcPr>
            <w:tcW w:w="8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法律服务机构</w:t>
            </w:r>
          </w:p>
        </w:tc>
        <w:tc>
          <w:tcPr>
            <w:tcW w:w="4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其他</w:t>
            </w:r>
          </w:p>
        </w:tc>
        <w:tc>
          <w:tcPr>
            <w:tcW w:w="64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376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一、本年新收到政府信息公开申请数量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jc w:val="center"/>
        </w:trPr>
        <w:tc>
          <w:tcPr>
            <w:tcW w:w="376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二、上年转结政府信息公开申请数量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2" w:hRule="atLeast"/>
          <w:jc w:val="center"/>
        </w:trPr>
        <w:tc>
          <w:tcPr>
            <w:tcW w:w="93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三、本年度办理结果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（一）予以公开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9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（二）部分公开（区分处理的，只计这一情形，不计其他情形）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01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（三）不予公开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1.属于国家秘密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9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2.其他法律行政法规禁止公开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3.危及“三安全一稳定”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4.保护第三方合法权益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93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015" w:type="dxa"/>
            <w:vMerge w:val="continue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5.属于三类内部事务信息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6.属于四类过程性信息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7.属于行政执法案卷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8.属于行政查询事项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9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01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（四）无法提供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1.本机关不掌握相关政府信息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9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2.没有现成信息需要另行制作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93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3.补正后申请内容仍不明确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93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（五）不予处理</w:t>
            </w: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1.信访举报投诉类申请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015" w:type="dxa"/>
            <w:vMerge w:val="continue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2.重复申请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015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3.要求提供公开出版物</w:t>
            </w:r>
          </w:p>
        </w:tc>
        <w:tc>
          <w:tcPr>
            <w:tcW w:w="86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1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3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9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4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93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4.无正当理由大量反复申请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9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5.要求行政机关确认或重新出具已获取信息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93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2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（六）其他处理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2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（七）总计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76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四、转结下年度继续办理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465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465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政府信息公开行政复议、行政诉讼情况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tbl>
      <w:tblPr>
        <w:tblStyle w:val="3"/>
        <w:tblW w:w="90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4"/>
        <w:gridCol w:w="615"/>
        <w:gridCol w:w="615"/>
        <w:gridCol w:w="615"/>
        <w:gridCol w:w="615"/>
        <w:gridCol w:w="599"/>
        <w:gridCol w:w="599"/>
        <w:gridCol w:w="599"/>
        <w:gridCol w:w="600"/>
        <w:gridCol w:w="600"/>
        <w:gridCol w:w="599"/>
        <w:gridCol w:w="599"/>
        <w:gridCol w:w="600"/>
        <w:gridCol w:w="600"/>
        <w:gridCol w:w="6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3074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atLeast"/>
          <w:jc w:val="center"/>
        </w:trPr>
        <w:tc>
          <w:tcPr>
            <w:tcW w:w="3074" w:type="dxa"/>
            <w:gridSpan w:val="5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299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未经复议直接起诉</w:t>
            </w:r>
          </w:p>
        </w:tc>
        <w:tc>
          <w:tcPr>
            <w:tcW w:w="300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  <w:jc w:val="center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结果维持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结果纠正</w:t>
            </w:r>
          </w:p>
        </w:tc>
        <w:tc>
          <w:tcPr>
            <w:tcW w:w="6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其他结果</w:t>
            </w:r>
          </w:p>
        </w:tc>
        <w:tc>
          <w:tcPr>
            <w:tcW w:w="6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尚未审结</w:t>
            </w:r>
          </w:p>
        </w:tc>
        <w:tc>
          <w:tcPr>
            <w:tcW w:w="6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总计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结果维持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结果纠正</w:t>
            </w:r>
          </w:p>
        </w:tc>
        <w:tc>
          <w:tcPr>
            <w:tcW w:w="5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其他结果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尚未审结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总计</w:t>
            </w:r>
          </w:p>
        </w:tc>
        <w:tc>
          <w:tcPr>
            <w:tcW w:w="5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结果维持</w:t>
            </w:r>
          </w:p>
        </w:tc>
        <w:tc>
          <w:tcPr>
            <w:tcW w:w="5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结果纠正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其他结果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尚未审结</w:t>
            </w:r>
          </w:p>
        </w:tc>
        <w:tc>
          <w:tcPr>
            <w:tcW w:w="6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五、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政府信息公开工作存在的主要问题及改进措施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我中心政府信息公开工作在顺利开展的同时，也发现了一些不足之处，主要表现在：一是责任意识不强，部分科室对政府信息公开工作不够重视，缺乏主动担当意识；二是主动公开政府信息内容与公众的需求尚存差距，政府信息公开的范围有待拓展。下一步我中心将着力从以下两个方面进一步做好政府信息公开工作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精准任务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，强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抓整改。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综合科牵头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及时对政务公开网站开展全面深入自查，对存在问题进行认真细致梳理，力求做到边整改、边提高。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加强领导，强化认识。全面提高单位在互联网环境下做好政务公开工作的重大意义，进一步转变理念，提高认识，确保工作常态化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本年度无其他需要报告的事项。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560" w:firstLineChars="200"/>
        <w:textAlignment w:val="auto"/>
        <w:outlineLvl w:val="9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 xml:space="preserve">  </w:t>
      </w:r>
    </w:p>
    <w:p/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EE49C7"/>
    <w:multiLevelType w:val="singleLevel"/>
    <w:tmpl w:val="82EE49C7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9C38D8A"/>
    <w:multiLevelType w:val="singleLevel"/>
    <w:tmpl w:val="A9C38D8A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24281644"/>
    <w:multiLevelType w:val="singleLevel"/>
    <w:tmpl w:val="2428164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3E0A62"/>
    <w:rsid w:val="6BFF2165"/>
    <w:rsid w:val="6FBB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宋体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宋体" w:hAnsi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</dc:creator>
  <cp:lastModifiedBy>nhx</cp:lastModifiedBy>
  <dcterms:modified xsi:type="dcterms:W3CDTF">2023-04-24T09:04:57Z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