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宁海县人力资源和社会保障局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2020年，</w:t>
      </w:r>
      <w:r>
        <w:rPr>
          <w:rFonts w:hint="eastAsia" w:ascii="仿宋" w:hAnsi="仿宋" w:eastAsia="仿宋" w:cs="仿宋"/>
          <w:sz w:val="32"/>
          <w:szCs w:val="32"/>
          <w:lang w:val="en-US" w:eastAsia="zh-CN"/>
        </w:rPr>
        <w:t>县人力社保局</w:t>
      </w:r>
      <w:r>
        <w:rPr>
          <w:rFonts w:hint="eastAsia" w:ascii="仿宋" w:hAnsi="仿宋" w:eastAsia="仿宋" w:cs="仿宋"/>
          <w:sz w:val="32"/>
          <w:szCs w:val="32"/>
        </w:rPr>
        <w:t>认真贯彻落实省、市、</w:t>
      </w:r>
      <w:r>
        <w:rPr>
          <w:rFonts w:hint="eastAsia" w:ascii="仿宋" w:hAnsi="仿宋" w:eastAsia="仿宋" w:cs="仿宋"/>
          <w:sz w:val="32"/>
          <w:szCs w:val="32"/>
          <w:lang w:val="en-US" w:eastAsia="zh-CN"/>
        </w:rPr>
        <w:t>县</w:t>
      </w:r>
      <w:r>
        <w:rPr>
          <w:rFonts w:hint="eastAsia" w:ascii="仿宋" w:hAnsi="仿宋" w:eastAsia="仿宋" w:cs="仿宋"/>
          <w:sz w:val="32"/>
          <w:szCs w:val="32"/>
        </w:rPr>
        <w:t>有关信息公开工作文件精神，根据《中华人民共和国政府信息公开条例》的规定和要求，紧密结合</w:t>
      </w:r>
      <w:r>
        <w:rPr>
          <w:rFonts w:hint="eastAsia" w:ascii="仿宋" w:hAnsi="仿宋" w:eastAsia="仿宋" w:cs="仿宋"/>
          <w:sz w:val="32"/>
          <w:szCs w:val="32"/>
          <w:lang w:val="en-US" w:eastAsia="zh-CN"/>
        </w:rPr>
        <w:t>社会需求形势及</w:t>
      </w:r>
      <w:r>
        <w:rPr>
          <w:rFonts w:hint="eastAsia" w:ascii="仿宋" w:hAnsi="仿宋" w:eastAsia="仿宋" w:cs="仿宋"/>
          <w:sz w:val="32"/>
          <w:szCs w:val="32"/>
        </w:rPr>
        <w:t>部门工作实际，进一步完善公开机制、拓宽公开渠道、深化公开内容，认真推进落实政府信息公开工作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县人力社保局始终坚持“以公开为常态、不公开为例外”的原则，持续深化人社领域政府信息公开，着力推进</w:t>
      </w:r>
      <w:r>
        <w:rPr>
          <w:rFonts w:hint="eastAsia" w:ascii="仿宋" w:hAnsi="仿宋" w:eastAsia="仿宋" w:cs="仿宋"/>
          <w:sz w:val="32"/>
          <w:szCs w:val="32"/>
          <w:lang w:val="en-US" w:eastAsia="zh-CN"/>
        </w:rPr>
        <w:t>人社</w:t>
      </w:r>
      <w:r>
        <w:rPr>
          <w:rFonts w:hint="eastAsia" w:ascii="仿宋" w:hAnsi="仿宋" w:eastAsia="仿宋" w:cs="仿宋"/>
          <w:sz w:val="32"/>
          <w:szCs w:val="32"/>
          <w:lang w:eastAsia="zh-CN"/>
        </w:rPr>
        <w:t>服务窗口建设。</w:t>
      </w:r>
      <w:r>
        <w:rPr>
          <w:rFonts w:hint="eastAsia" w:ascii="仿宋" w:hAnsi="仿宋" w:eastAsia="仿宋" w:cs="仿宋"/>
          <w:sz w:val="32"/>
          <w:szCs w:val="32"/>
          <w:lang w:val="en-US" w:eastAsia="zh-CN"/>
        </w:rPr>
        <w:t>2020年累计主动公开信息</w:t>
      </w:r>
      <w:r>
        <w:rPr>
          <w:rFonts w:hint="eastAsia" w:ascii="仿宋" w:hAnsi="仿宋" w:eastAsia="仿宋" w:cs="仿宋"/>
          <w:sz w:val="32"/>
          <w:szCs w:val="32"/>
          <w:lang w:eastAsia="zh-CN"/>
        </w:rPr>
        <w:t>577条，其中政府网站公开405条，政务微博公开47条，政务微信公开125条。及时准确开展政策解读工作，采取图文形式全方位、多角度加以解读，切实提升政策解读质量，全年发布相关政策解读</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条。持续开展“无证明人社”建设，以“政务服务+数字化转型”来持续推进减证便民工作。开展“智能办理提升”专项行动，优化大厅自助服务区、网上办理区和人工受理区等三大功能区的软硬件配置，创新推出首批28个人社高频事项“码”上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（二）依申请公开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进一步加强对依申请公开工作的认识，落实专人负责，不断强化法律意识和协调意识。同时加强知识更新学习，</w:t>
      </w:r>
      <w:r>
        <w:rPr>
          <w:rFonts w:hint="default" w:ascii="仿宋" w:hAnsi="仿宋" w:eastAsia="仿宋" w:cs="仿宋"/>
          <w:sz w:val="32"/>
          <w:szCs w:val="32"/>
          <w:lang w:val="en-US" w:eastAsia="zh-CN"/>
        </w:rPr>
        <w:t>在接受全县政务公开和政务服务专题培训后，在全局范围内利用“周二夜学”及时组织开展了《条例》学习，尤其是针对群众较为关注的依申请公开，做到对依申请公开的政府信息分情况及时给予答复，确保程序合法、流程合规</w:t>
      </w:r>
      <w:r>
        <w:rPr>
          <w:rFonts w:hint="eastAsia" w:ascii="仿宋" w:hAnsi="仿宋" w:eastAsia="仿宋" w:cs="仿宋"/>
          <w:sz w:val="32"/>
          <w:szCs w:val="32"/>
          <w:lang w:val="en-US" w:eastAsia="zh-CN"/>
        </w:rPr>
        <w:t>，不断提高依申请公开办理质量，切实保障公众知情权。本年度受理依申请公开0件，无行政复议和行政诉讼。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及时通过信息公开网、政府门户网站、微信公众号等途径更新政府信息公开目录和指南，不断完善主动公开广度和深度。严格遵循“谁公开、谁审查、谁负责”原则，确保了政务信息公开工作扎实有效开展。健全完善信息公开保密审查制度，提高政府信息公开工作的规范化水平。同时，以深化政务服务2.0版本为契机，通过“网上办”“掌上办”等形式，不断满足公众对政务公开形式的需求。明确专人负责“百姓事马上办”群众网上意见建议和投诉，本年度处理200余条，满意率达99%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（四）平台建设</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受到新冠疫情的影响，复工复产、招工用工等人社领域工作均面临了尤为特殊的形势，企业、群众对人社部门信息公开也同样有了更迫切的需求。在这期间，我局对国务院、人社部、省政府、省人社厅、市政府等发布的与人社工作密切关联且需要社会广泛知晓的政策信息，第一时间进行平台转载发布。同时，依托“宁海政府网”平台设立“宁海最全招工”平台，开展“不见面招聘会”、创新“局长直播带岗”等形式，将本县人力资源市场就业用工需求情况及时发布，帮助企业、求职者双方搭建了互联平台，着力解决企业用工难、用工荒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（五）监督保障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default" w:ascii="仿宋" w:hAnsi="仿宋" w:eastAsia="仿宋" w:cs="仿宋"/>
          <w:sz w:val="32"/>
          <w:szCs w:val="32"/>
          <w:lang w:val="en-US" w:eastAsia="zh-CN"/>
        </w:rPr>
        <w:t>为保障政府信息公开工作真正落到实处，使政务公开管理工作规范化，在原先局党委书记、局长为组长的局政务公开领导小组基础上，根据科室相关人员变动，及时完善更新领导小组，并对经办人员进行系列培训。此外，实行网站日常</w:t>
      </w:r>
      <w:r>
        <w:rPr>
          <w:rFonts w:hint="eastAsia" w:ascii="仿宋" w:hAnsi="仿宋" w:eastAsia="仿宋" w:cs="仿宋"/>
          <w:sz w:val="32"/>
          <w:szCs w:val="32"/>
          <w:lang w:val="en-US" w:eastAsia="zh-CN"/>
        </w:rPr>
        <w:t>自查</w:t>
      </w:r>
      <w:r>
        <w:rPr>
          <w:rFonts w:hint="default" w:ascii="仿宋" w:hAnsi="仿宋" w:eastAsia="仿宋" w:cs="仿宋"/>
          <w:sz w:val="32"/>
          <w:szCs w:val="32"/>
          <w:lang w:val="en-US" w:eastAsia="zh-CN"/>
        </w:rPr>
        <w:t>制度，</w:t>
      </w:r>
      <w:r>
        <w:rPr>
          <w:rFonts w:hint="eastAsia" w:ascii="仿宋" w:hAnsi="仿宋" w:eastAsia="仿宋" w:cs="仿宋"/>
          <w:sz w:val="32"/>
          <w:szCs w:val="32"/>
          <w:lang w:val="en-US" w:eastAsia="zh-CN"/>
        </w:rPr>
        <w:t>在每季度审查时间节点之前着重</w:t>
      </w:r>
      <w:r>
        <w:rPr>
          <w:rFonts w:hint="default" w:ascii="仿宋" w:hAnsi="仿宋" w:eastAsia="仿宋" w:cs="仿宋"/>
          <w:sz w:val="32"/>
          <w:szCs w:val="32"/>
          <w:lang w:val="en-US" w:eastAsia="zh-CN"/>
        </w:rPr>
        <w:t>审核政府信息公开平台</w:t>
      </w:r>
      <w:r>
        <w:rPr>
          <w:rFonts w:hint="eastAsia" w:ascii="仿宋" w:hAnsi="仿宋" w:eastAsia="仿宋" w:cs="仿宋"/>
          <w:sz w:val="32"/>
          <w:szCs w:val="32"/>
          <w:lang w:val="en-US" w:eastAsia="zh-CN"/>
        </w:rPr>
        <w:t>发布</w:t>
      </w:r>
      <w:r>
        <w:rPr>
          <w:rFonts w:hint="default" w:ascii="仿宋" w:hAnsi="仿宋" w:eastAsia="仿宋" w:cs="仿宋"/>
          <w:sz w:val="32"/>
          <w:szCs w:val="32"/>
          <w:lang w:val="en-US" w:eastAsia="zh-CN"/>
        </w:rPr>
        <w:t>信息</w:t>
      </w:r>
      <w:r>
        <w:rPr>
          <w:rFonts w:hint="eastAsia" w:ascii="仿宋" w:hAnsi="仿宋" w:eastAsia="仿宋" w:cs="仿宋"/>
          <w:sz w:val="32"/>
          <w:szCs w:val="32"/>
          <w:lang w:val="en-US" w:eastAsia="zh-CN"/>
        </w:rPr>
        <w:t>的</w:t>
      </w:r>
      <w:r>
        <w:rPr>
          <w:rFonts w:hint="default" w:ascii="仿宋" w:hAnsi="仿宋" w:eastAsia="仿宋" w:cs="仿宋"/>
          <w:sz w:val="32"/>
          <w:szCs w:val="32"/>
          <w:lang w:val="en-US" w:eastAsia="zh-CN"/>
        </w:rPr>
        <w:t>及时性</w:t>
      </w:r>
      <w:r>
        <w:rPr>
          <w:rFonts w:hint="eastAsia" w:ascii="仿宋" w:hAnsi="仿宋" w:eastAsia="仿宋" w:cs="仿宋"/>
          <w:sz w:val="32"/>
          <w:szCs w:val="32"/>
          <w:lang w:val="en-US" w:eastAsia="zh-CN"/>
        </w:rPr>
        <w:t>和格式规范性，努力</w:t>
      </w:r>
      <w:r>
        <w:rPr>
          <w:rFonts w:hint="default" w:ascii="仿宋" w:hAnsi="仿宋" w:eastAsia="仿宋" w:cs="仿宋"/>
          <w:sz w:val="32"/>
          <w:szCs w:val="32"/>
          <w:lang w:val="en-US" w:eastAsia="zh-CN"/>
        </w:rPr>
        <w:t>保障政务公开工作的规范性和连续性</w:t>
      </w:r>
      <w:r>
        <w:rPr>
          <w:rFonts w:hint="eastAsia" w:ascii="仿宋" w:hAnsi="仿宋" w:eastAsia="仿宋" w:cs="仿宋"/>
          <w:sz w:val="32"/>
          <w:szCs w:val="32"/>
          <w:lang w:val="en-US"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3"/>
        <w:tblW w:w="8931"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本年新制作数量</w:t>
            </w:r>
          </w:p>
        </w:tc>
        <w:tc>
          <w:tcPr>
            <w:tcW w:w="2268"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本年新公开数量</w:t>
            </w:r>
          </w:p>
        </w:tc>
        <w:tc>
          <w:tcPr>
            <w:tcW w:w="198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规章</w:t>
            </w:r>
          </w:p>
        </w:tc>
        <w:tc>
          <w:tcPr>
            <w:tcW w:w="2605"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68"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2268"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984"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2268"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c>
          <w:tcPr>
            <w:tcW w:w="198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2605"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12</w:t>
            </w:r>
          </w:p>
        </w:tc>
        <w:tc>
          <w:tcPr>
            <w:tcW w:w="2268"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1984"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其他对外管理服务事项</w:t>
            </w:r>
          </w:p>
        </w:tc>
        <w:tc>
          <w:tcPr>
            <w:tcW w:w="2605"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120</w:t>
            </w:r>
          </w:p>
        </w:tc>
        <w:tc>
          <w:tcPr>
            <w:tcW w:w="2268"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16</w:t>
            </w:r>
          </w:p>
        </w:tc>
        <w:tc>
          <w:tcPr>
            <w:tcW w:w="1984"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283186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信息内容</w:t>
            </w:r>
          </w:p>
        </w:tc>
        <w:tc>
          <w:tcPr>
            <w:tcW w:w="2605"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上一年项目数量</w:t>
            </w:r>
          </w:p>
        </w:tc>
        <w:tc>
          <w:tcPr>
            <w:tcW w:w="2268"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本年增/减</w:t>
            </w:r>
          </w:p>
        </w:tc>
        <w:tc>
          <w:tcPr>
            <w:tcW w:w="1984"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2605"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67</w:t>
            </w:r>
          </w:p>
        </w:tc>
        <w:tc>
          <w:tcPr>
            <w:tcW w:w="2268"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1984"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2605"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2268"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1984"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4252"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2605"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4252" w:type="dxa"/>
            <w:gridSpan w:val="2"/>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采购项目数量</w:t>
            </w:r>
          </w:p>
        </w:tc>
        <w:tc>
          <w:tcPr>
            <w:tcW w:w="4252"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政府集中采购</w:t>
            </w:r>
          </w:p>
        </w:tc>
        <w:tc>
          <w:tcPr>
            <w:tcW w:w="2605"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w:t>
            </w:r>
          </w:p>
        </w:tc>
        <w:tc>
          <w:tcPr>
            <w:tcW w:w="4252" w:type="dxa"/>
            <w:gridSpan w:val="2"/>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378.75万元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eastAsia="zh-CN"/>
        </w:rPr>
        <w:t>三、收到和处理政府信息公开申请情况</w:t>
      </w:r>
    </w:p>
    <w:tbl>
      <w:tblPr>
        <w:tblStyle w:val="3"/>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74" w:type="dxa"/>
            <w:gridSpan w:val="7"/>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spacing w:line="400" w:lineRule="exact"/>
              <w:rPr>
                <w:rFonts w:ascii="宋体" w:hAnsi="宋体"/>
                <w:sz w:val="18"/>
                <w:szCs w:val="18"/>
              </w:rPr>
            </w:pPr>
          </w:p>
        </w:tc>
        <w:tc>
          <w:tcPr>
            <w:tcW w:w="839" w:type="dxa"/>
            <w:vMerge w:val="restart"/>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705" w:type="dxa"/>
            <w:gridSpan w:val="5"/>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630" w:type="dxa"/>
            <w:vMerge w:val="restart"/>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spacing w:line="400" w:lineRule="exact"/>
              <w:rPr>
                <w:rFonts w:ascii="宋体" w:hAnsi="宋体"/>
                <w:sz w:val="18"/>
                <w:szCs w:val="18"/>
              </w:rPr>
            </w:pPr>
          </w:p>
        </w:tc>
        <w:tc>
          <w:tcPr>
            <w:tcW w:w="839" w:type="dxa"/>
            <w:vMerge w:val="continue"/>
            <w:vAlign w:val="center"/>
          </w:tcPr>
          <w:p>
            <w:pPr>
              <w:spacing w:line="400" w:lineRule="exact"/>
              <w:rPr>
                <w:rFonts w:hint="eastAsia" w:ascii="黑体" w:hAnsi="黑体" w:eastAsia="黑体" w:cs="黑体"/>
                <w:sz w:val="24"/>
              </w:rPr>
            </w:pPr>
          </w:p>
        </w:tc>
        <w:tc>
          <w:tcPr>
            <w:tcW w:w="709"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709"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992"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81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481"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630" w:type="dxa"/>
            <w:vMerge w:val="continue"/>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四、政府信息公开行政复议、行政诉讼情况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5" w:type="dxa"/>
            <w:gridSpan w:val="5"/>
            <w:vMerge w:val="continue"/>
            <w:vAlign w:val="center"/>
          </w:tcPr>
          <w:p>
            <w:pPr>
              <w:spacing w:line="400" w:lineRule="exact"/>
              <w:jc w:val="center"/>
              <w:rPr>
                <w:rFonts w:hint="eastAsia" w:ascii="黑体" w:hAnsi="黑体" w:eastAsia="黑体" w:cs="黑体"/>
                <w:sz w:val="24"/>
              </w:rPr>
            </w:pPr>
          </w:p>
        </w:tc>
        <w:tc>
          <w:tcPr>
            <w:tcW w:w="2765" w:type="dxa"/>
            <w:gridSpan w:val="5"/>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4"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2020年以来</w:t>
      </w:r>
      <w:r>
        <w:rPr>
          <w:rFonts w:hint="default" w:ascii="仿宋" w:hAnsi="仿宋" w:eastAsia="仿宋" w:cs="仿宋"/>
          <w:sz w:val="32"/>
          <w:szCs w:val="32"/>
          <w:lang w:val="en-US" w:eastAsia="zh-CN"/>
        </w:rPr>
        <w:t>，我局信息公开工作</w:t>
      </w:r>
      <w:r>
        <w:rPr>
          <w:rFonts w:hint="eastAsia" w:ascii="仿宋" w:hAnsi="仿宋" w:eastAsia="仿宋" w:cs="仿宋"/>
          <w:sz w:val="32"/>
          <w:szCs w:val="32"/>
          <w:lang w:val="en-US" w:eastAsia="zh-CN"/>
        </w:rPr>
        <w:t>虽</w:t>
      </w:r>
      <w:r>
        <w:rPr>
          <w:rFonts w:hint="default" w:ascii="仿宋" w:hAnsi="仿宋" w:eastAsia="仿宋" w:cs="仿宋"/>
          <w:sz w:val="32"/>
          <w:szCs w:val="32"/>
          <w:lang w:val="en-US" w:eastAsia="zh-CN"/>
        </w:rPr>
        <w:t>取得了一定成效，但与</w:t>
      </w:r>
      <w:r>
        <w:rPr>
          <w:rFonts w:hint="eastAsia" w:ascii="仿宋" w:hAnsi="仿宋" w:eastAsia="仿宋" w:cs="仿宋"/>
          <w:sz w:val="32"/>
          <w:szCs w:val="32"/>
          <w:lang w:val="en-US" w:eastAsia="zh-CN"/>
        </w:rPr>
        <w:t>上级要求和公众需求仍</w:t>
      </w:r>
      <w:r>
        <w:rPr>
          <w:rFonts w:hint="default" w:ascii="仿宋" w:hAnsi="仿宋" w:eastAsia="仿宋" w:cs="仿宋"/>
          <w:sz w:val="32"/>
          <w:szCs w:val="32"/>
          <w:lang w:val="en-US" w:eastAsia="zh-CN"/>
        </w:rPr>
        <w:t>存在</w:t>
      </w:r>
      <w:r>
        <w:rPr>
          <w:rFonts w:hint="eastAsia" w:ascii="仿宋" w:hAnsi="仿宋" w:eastAsia="仿宋" w:cs="仿宋"/>
          <w:sz w:val="32"/>
          <w:szCs w:val="32"/>
          <w:lang w:val="en-US" w:eastAsia="zh-CN"/>
        </w:rPr>
        <w:t>较大</w:t>
      </w:r>
      <w:r>
        <w:rPr>
          <w:rFonts w:hint="default" w:ascii="仿宋" w:hAnsi="仿宋" w:eastAsia="仿宋" w:cs="仿宋"/>
          <w:sz w:val="32"/>
          <w:szCs w:val="32"/>
          <w:lang w:val="en-US" w:eastAsia="zh-CN"/>
        </w:rPr>
        <w:t>差距，如政策文件解读不充分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解读形式单一</w:t>
      </w:r>
      <w:r>
        <w:rPr>
          <w:rFonts w:hint="eastAsia" w:ascii="仿宋" w:hAnsi="仿宋" w:eastAsia="仿宋" w:cs="仿宋"/>
          <w:sz w:val="32"/>
          <w:szCs w:val="32"/>
          <w:lang w:val="en-US" w:eastAsia="zh-CN"/>
        </w:rPr>
        <w:t>、信息公开仍不够全面和及时等问题，</w:t>
      </w:r>
      <w:r>
        <w:rPr>
          <w:rFonts w:hint="default" w:ascii="仿宋" w:hAnsi="仿宋" w:eastAsia="仿宋" w:cs="仿宋"/>
          <w:sz w:val="32"/>
          <w:szCs w:val="32"/>
          <w:lang w:val="en-US" w:eastAsia="zh-CN"/>
        </w:rPr>
        <w:t>我们将从以下几方面进行改进：</w:t>
      </w:r>
      <w:r>
        <w:rPr>
          <w:rFonts w:hint="eastAsia" w:ascii="仿宋" w:hAnsi="仿宋" w:eastAsia="仿宋" w:cs="仿宋"/>
          <w:sz w:val="32"/>
          <w:szCs w:val="32"/>
          <w:lang w:val="en-US" w:eastAsia="zh-CN"/>
        </w:rPr>
        <w:t>一是继续强化认识，</w:t>
      </w:r>
      <w:r>
        <w:rPr>
          <w:rFonts w:hint="default" w:ascii="仿宋" w:hAnsi="仿宋" w:eastAsia="仿宋" w:cs="仿宋"/>
          <w:sz w:val="32"/>
          <w:szCs w:val="32"/>
          <w:lang w:val="en-US" w:eastAsia="zh-CN"/>
        </w:rPr>
        <w:t>严格落实主动公开、依申请公开等制度，确保政府信息公开工作规范运行</w:t>
      </w:r>
      <w:r>
        <w:rPr>
          <w:rFonts w:hint="eastAsia" w:ascii="仿宋" w:hAnsi="仿宋" w:eastAsia="仿宋" w:cs="仿宋"/>
          <w:sz w:val="32"/>
          <w:szCs w:val="32"/>
          <w:lang w:val="en-US" w:eastAsia="zh-CN"/>
        </w:rPr>
        <w:t>；二是</w:t>
      </w:r>
      <w:r>
        <w:rPr>
          <w:rFonts w:hint="default" w:ascii="仿宋" w:hAnsi="仿宋" w:eastAsia="仿宋" w:cs="仿宋"/>
          <w:sz w:val="32"/>
          <w:szCs w:val="32"/>
          <w:lang w:val="en-US" w:eastAsia="zh-CN"/>
        </w:rPr>
        <w:t>加强重要信息更新的频率和实效性，充分发挥门户网站政策宣传、便民利民的作用</w:t>
      </w:r>
      <w:r>
        <w:rPr>
          <w:rFonts w:hint="eastAsia" w:ascii="仿宋" w:hAnsi="仿宋" w:eastAsia="仿宋" w:cs="仿宋"/>
          <w:sz w:val="32"/>
          <w:szCs w:val="32"/>
          <w:lang w:val="en-US" w:eastAsia="zh-CN"/>
        </w:rPr>
        <w:t>；三是及时结合社会需求及部门职能，创新完善公开内容，强化宣传引导，进一步拓宽政府信息公开的作用。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sectPr>
      <w:pgSz w:w="11906" w:h="16838"/>
      <w:pgMar w:top="2137"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C1C8"/>
    <w:multiLevelType w:val="singleLevel"/>
    <w:tmpl w:val="49F4C1C8"/>
    <w:lvl w:ilvl="0" w:tentative="0">
      <w:start w:val="2"/>
      <w:numFmt w:val="chineseCounting"/>
      <w:suff w:val="nothing"/>
      <w:lvlText w:val="%1、"/>
      <w:lvlJc w:val="left"/>
      <w:pPr>
        <w:ind w:left="640" w:leftChars="0" w:firstLine="0" w:firstLineChars="0"/>
      </w:pPr>
      <w:rPr>
        <w:rFonts w:hint="eastAsia"/>
      </w:rPr>
    </w:lvl>
  </w:abstractNum>
  <w:abstractNum w:abstractNumId="1">
    <w:nsid w:val="7C6D4FFA"/>
    <w:multiLevelType w:val="singleLevel"/>
    <w:tmpl w:val="7C6D4FF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16365"/>
    <w:rsid w:val="06273853"/>
    <w:rsid w:val="0F3F6837"/>
    <w:rsid w:val="25082B7F"/>
    <w:rsid w:val="26C05096"/>
    <w:rsid w:val="3A620CA0"/>
    <w:rsid w:val="3B492856"/>
    <w:rsid w:val="42970746"/>
    <w:rsid w:val="5C3163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character" w:styleId="5">
    <w:name w:val="Strong"/>
    <w:basedOn w:val="4"/>
    <w:qFormat/>
    <w:uiPriority w:val="0"/>
    <w:rPr>
      <w:b/>
    </w:rPr>
  </w:style>
  <w:style w:type="character" w:styleId="6">
    <w:name w:val="FollowedHyperlink"/>
    <w:basedOn w:val="4"/>
    <w:qFormat/>
    <w:uiPriority w:val="0"/>
    <w:rPr>
      <w:color w:val="2B2B2B"/>
      <w:u w:val="none"/>
    </w:rPr>
  </w:style>
  <w:style w:type="character" w:styleId="7">
    <w:name w:val="HTML Definition"/>
    <w:basedOn w:val="4"/>
    <w:qFormat/>
    <w:uiPriority w:val="0"/>
    <w:rPr>
      <w:b/>
      <w:i/>
      <w:color w:val="000000"/>
      <w:sz w:val="31"/>
      <w:szCs w:val="31"/>
    </w:rPr>
  </w:style>
  <w:style w:type="character" w:styleId="8">
    <w:name w:val="Hyperlink"/>
    <w:basedOn w:val="4"/>
    <w:uiPriority w:val="0"/>
    <w:rPr>
      <w:color w:val="2B2B2B"/>
      <w:u w:val="none"/>
    </w:rPr>
  </w:style>
  <w:style w:type="character" w:styleId="9">
    <w:name w:val="HTML Code"/>
    <w:basedOn w:val="4"/>
    <w:qFormat/>
    <w:uiPriority w:val="0"/>
    <w:rPr>
      <w:rFonts w:ascii="Consolas" w:hAnsi="Consolas" w:eastAsia="Consolas" w:cs="Consolas"/>
      <w:b/>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2020-01-14T05:48:00Z</dcterms:created>
  <dc:creator>最萌一村照</dc:creator>
  <cp:lastModifiedBy>最萌一村照</cp:lastModifiedBy>
  <dcterms:modified xsi:type="dcterms:W3CDTF">2021-04-06T02:34:47Z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