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E8" w:rsidRDefault="00592EE8">
      <w:pPr>
        <w:spacing w:beforeLines="50" w:before="156" w:afterLines="100" w:after="312"/>
        <w:jc w:val="center"/>
        <w:rPr>
          <w:rFonts w:ascii="Times New Roman" w:hAnsi="Times New Roman" w:cs="Times New Roman"/>
          <w:b/>
          <w:color w:val="333333"/>
          <w:sz w:val="36"/>
          <w:szCs w:val="36"/>
        </w:rPr>
      </w:pPr>
    </w:p>
    <w:p w:rsidR="00592EE8" w:rsidRDefault="00A16709">
      <w:pPr>
        <w:spacing w:afterLines="50" w:after="156"/>
        <w:jc w:val="center"/>
        <w:rPr>
          <w:rFonts w:ascii="创艺简标宋" w:eastAsia="创艺简标宋" w:hAnsi="创艺简标宋" w:cs="创艺简标宋"/>
          <w:b/>
          <w:color w:val="333333"/>
          <w:sz w:val="44"/>
          <w:szCs w:val="44"/>
        </w:rPr>
      </w:pPr>
      <w:r>
        <w:rPr>
          <w:rFonts w:ascii="创艺简标宋" w:eastAsia="创艺简标宋" w:hAnsi="创艺简标宋" w:cs="创艺简标宋" w:hint="eastAsia"/>
          <w:b/>
          <w:color w:val="333333"/>
          <w:sz w:val="44"/>
          <w:szCs w:val="44"/>
        </w:rPr>
        <w:t>宁海县市场监督管理局</w:t>
      </w:r>
    </w:p>
    <w:p w:rsidR="00592EE8" w:rsidRDefault="00A16709">
      <w:pPr>
        <w:spacing w:afterLines="100" w:after="312"/>
        <w:jc w:val="center"/>
        <w:rPr>
          <w:rFonts w:ascii="创艺简标宋" w:eastAsia="创艺简标宋" w:hAnsi="创艺简标宋" w:cs="创艺简标宋"/>
          <w:sz w:val="44"/>
          <w:szCs w:val="44"/>
        </w:rPr>
      </w:pPr>
      <w:r>
        <w:rPr>
          <w:rFonts w:ascii="创艺简标宋" w:eastAsia="创艺简标宋" w:hAnsi="创艺简标宋" w:cs="创艺简标宋" w:hint="eastAsia"/>
          <w:b/>
          <w:color w:val="333333"/>
          <w:sz w:val="44"/>
          <w:szCs w:val="44"/>
        </w:rPr>
        <w:t>2020年政府信息公开工作年度报告</w:t>
      </w:r>
    </w:p>
    <w:p w:rsidR="00592EE8" w:rsidRDefault="00A16709">
      <w:pPr>
        <w:pStyle w:val="a3"/>
        <w:widowControl/>
        <w:spacing w:before="0" w:beforeAutospacing="0" w:after="0" w:afterAutospacing="0" w:line="520" w:lineRule="exact"/>
        <w:ind w:firstLineChars="200" w:firstLine="640"/>
        <w:jc w:val="both"/>
        <w:rPr>
          <w:rFonts w:ascii="仿宋_GB2312" w:eastAsia="仿宋_GB2312" w:hAnsi="仿宋_GB2312" w:cs="仿宋_GB2312"/>
          <w:b/>
          <w:color w:val="333333"/>
          <w:sz w:val="32"/>
          <w:szCs w:val="32"/>
        </w:rPr>
      </w:pPr>
      <w:r>
        <w:rPr>
          <w:rFonts w:ascii="Times New Roman" w:eastAsia="仿宋_GB2312" w:hAnsi="Times New Roman"/>
          <w:sz w:val="32"/>
          <w:szCs w:val="32"/>
        </w:rPr>
        <w:t>本年报按照</w:t>
      </w:r>
      <w:r>
        <w:rPr>
          <w:rFonts w:ascii="Times New Roman" w:eastAsia="仿宋_GB2312" w:hAnsi="Times New Roman"/>
          <w:sz w:val="32"/>
          <w:szCs w:val="32"/>
        </w:rPr>
        <w:t>2020</w:t>
      </w:r>
      <w:r>
        <w:rPr>
          <w:rFonts w:ascii="Times New Roman" w:eastAsia="仿宋_GB2312" w:hAnsi="Times New Roman"/>
          <w:sz w:val="32"/>
          <w:szCs w:val="32"/>
        </w:rPr>
        <w:t>年宁海县市场监督管理局信息公开工作实际编制而成。本年报由总体情况、主动公开政府信息情况、收到和处理政府信息公开申请情况、政府信息公开行政复议行政诉讼情况、存在的主要问题及改进措施、其他需要报告的事项等六部分组成。本年报中所列数据的统计期限自</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日起至</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日止。本年报的电子版可在宁海县政府信息公开网（</w:t>
      </w:r>
      <w:r>
        <w:rPr>
          <w:rFonts w:ascii="Times New Roman" w:eastAsia="仿宋_GB2312" w:hAnsi="Times New Roman"/>
          <w:sz w:val="32"/>
          <w:szCs w:val="32"/>
        </w:rPr>
        <w:t>http://www.ninghai.gov.cn/col/col1229128367/</w:t>
      </w:r>
      <w:r>
        <w:rPr>
          <w:rFonts w:ascii="Times New Roman" w:eastAsia="仿宋_GB2312" w:hAnsi="Times New Roman"/>
          <w:sz w:val="32"/>
          <w:szCs w:val="32"/>
        </w:rPr>
        <w:t>）下载。如对报告有疑问，请与宁海县市场监管局办公室联系</w:t>
      </w:r>
      <w:r>
        <w:rPr>
          <w:rFonts w:ascii="Times New Roman" w:eastAsia="仿宋_GB2312" w:hAnsi="Times New Roman"/>
          <w:sz w:val="32"/>
          <w:szCs w:val="32"/>
        </w:rPr>
        <w:t>(</w:t>
      </w:r>
      <w:r>
        <w:rPr>
          <w:rFonts w:ascii="Times New Roman" w:eastAsia="仿宋_GB2312" w:hAnsi="Times New Roman"/>
          <w:sz w:val="32"/>
          <w:szCs w:val="32"/>
        </w:rPr>
        <w:t>地址：宁海县环城西路</w:t>
      </w:r>
      <w:r>
        <w:rPr>
          <w:rFonts w:ascii="Times New Roman" w:eastAsia="仿宋_GB2312" w:hAnsi="Times New Roman"/>
          <w:sz w:val="32"/>
          <w:szCs w:val="32"/>
        </w:rPr>
        <w:t>36</w:t>
      </w:r>
      <w:r>
        <w:rPr>
          <w:rFonts w:ascii="Times New Roman" w:eastAsia="仿宋_GB2312" w:hAnsi="Times New Roman"/>
          <w:sz w:val="32"/>
          <w:szCs w:val="32"/>
        </w:rPr>
        <w:t>号；邮编：</w:t>
      </w:r>
      <w:r>
        <w:rPr>
          <w:rFonts w:ascii="Times New Roman" w:eastAsia="仿宋_GB2312" w:hAnsi="Times New Roman"/>
          <w:sz w:val="32"/>
          <w:szCs w:val="32"/>
        </w:rPr>
        <w:t>315600</w:t>
      </w:r>
      <w:r>
        <w:rPr>
          <w:rFonts w:ascii="Times New Roman" w:eastAsia="仿宋_GB2312" w:hAnsi="Times New Roman"/>
          <w:sz w:val="32"/>
          <w:szCs w:val="32"/>
        </w:rPr>
        <w:t>；联系电话：</w:t>
      </w:r>
      <w:r>
        <w:rPr>
          <w:rFonts w:ascii="Times New Roman" w:eastAsia="仿宋_GB2312" w:hAnsi="Times New Roman"/>
          <w:sz w:val="32"/>
          <w:szCs w:val="32"/>
        </w:rPr>
        <w:t>0574-65577382)</w:t>
      </w:r>
      <w:r>
        <w:rPr>
          <w:rFonts w:ascii="Times New Roman" w:eastAsia="仿宋_GB2312" w:hAnsi="Times New Roman"/>
          <w:sz w:val="32"/>
          <w:szCs w:val="32"/>
        </w:rPr>
        <w:t>。</w:t>
      </w:r>
    </w:p>
    <w:p w:rsidR="00592EE8" w:rsidRDefault="00A16709">
      <w:pPr>
        <w:pStyle w:val="a3"/>
        <w:widowControl/>
        <w:spacing w:before="0" w:beforeAutospacing="0" w:after="0" w:afterAutospacing="0" w:line="432" w:lineRule="atLeast"/>
        <w:ind w:firstLineChars="200" w:firstLine="643"/>
        <w:jc w:val="both"/>
        <w:rPr>
          <w:rFonts w:ascii="黑体" w:eastAsia="黑体" w:hAnsi="黑体" w:cs="黑体"/>
          <w:sz w:val="32"/>
          <w:szCs w:val="32"/>
        </w:rPr>
      </w:pPr>
      <w:r>
        <w:rPr>
          <w:rFonts w:ascii="黑体" w:eastAsia="黑体" w:hAnsi="黑体" w:cs="黑体" w:hint="eastAsia"/>
          <w:b/>
          <w:color w:val="333333"/>
          <w:sz w:val="32"/>
          <w:szCs w:val="32"/>
        </w:rPr>
        <w:t>一、总体情况</w:t>
      </w:r>
    </w:p>
    <w:p w:rsidR="00592EE8" w:rsidRDefault="00A16709">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2020年，我局认真贯彻落实新修订的《中华人民共和国政府信息公开条例》（以下简称《条例》）和《宁波市人民政府办公厅关于印发2019年宁波市政务公开工作要点的通知》（</w:t>
      </w:r>
      <w:proofErr w:type="gramStart"/>
      <w:r>
        <w:rPr>
          <w:rFonts w:ascii="仿宋_GB2312" w:eastAsia="仿宋_GB2312" w:hAnsi="仿宋_GB2312" w:cs="仿宋_GB2312" w:hint="eastAsia"/>
          <w:sz w:val="32"/>
          <w:szCs w:val="32"/>
        </w:rPr>
        <w:t>甬政办</w:t>
      </w:r>
      <w:proofErr w:type="gramEnd"/>
      <w:r>
        <w:rPr>
          <w:rFonts w:ascii="仿宋_GB2312" w:eastAsia="仿宋_GB2312" w:hAnsi="仿宋_GB2312" w:cs="仿宋_GB2312" w:hint="eastAsia"/>
          <w:sz w:val="32"/>
          <w:szCs w:val="32"/>
        </w:rPr>
        <w:t>发〔2019〕45号）的要求，扎实开展政府信息公开工作，坚持“以公开为常态、不公开为例外”，不断加强政府信息公开工作组织领导，完善政府信息公开工作机制，推动政府信息公开标准化规范化发展，不断增加工作透明度，深化重点领域的政府信息公开，通</w:t>
      </w:r>
      <w:r>
        <w:rPr>
          <w:rFonts w:ascii="仿宋_GB2312" w:eastAsia="仿宋_GB2312" w:hAnsi="仿宋_GB2312" w:cs="仿宋_GB2312" w:hint="eastAsia"/>
          <w:sz w:val="32"/>
          <w:szCs w:val="32"/>
        </w:rPr>
        <w:lastRenderedPageBreak/>
        <w:t>过多样化推进政府信息公开工作，创新监管方式，切实保障人民群众知情权、参与权、表达权、监督权。</w:t>
      </w:r>
    </w:p>
    <w:p w:rsidR="00B24CBE" w:rsidRDefault="00B24CBE" w:rsidP="00B24CBE">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（一）主动公开</w:t>
      </w:r>
    </w:p>
    <w:p w:rsidR="004F69A7" w:rsidRPr="004F69A7" w:rsidRDefault="00E7164D" w:rsidP="00B24CBE">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结合市场监管重点、亮点工作，主动拓宽政府信息公开渠道，积极邀请媒体参与报道，扩大社会影响力。</w:t>
      </w:r>
      <w:r w:rsidR="004F69A7">
        <w:rPr>
          <w:rFonts w:ascii="仿宋_GB2312" w:eastAsia="仿宋_GB2312" w:hAnsi="仿宋_GB2312" w:cs="仿宋_GB2312" w:hint="eastAsia"/>
          <w:sz w:val="32"/>
          <w:szCs w:val="32"/>
        </w:rPr>
        <w:t>2020年，我局主要通过政府网站（地址：http://www.ninghai.gov.cn/col/col1229093244/index.html）主动公开政府信息358</w:t>
      </w:r>
      <w:r>
        <w:rPr>
          <w:rFonts w:ascii="仿宋_GB2312" w:eastAsia="仿宋_GB2312" w:hAnsi="仿宋_GB2312" w:cs="仿宋_GB2312" w:hint="eastAsia"/>
          <w:sz w:val="32"/>
          <w:szCs w:val="32"/>
        </w:rPr>
        <w:t>条，</w:t>
      </w:r>
      <w:r w:rsidR="004F69A7">
        <w:rPr>
          <w:rFonts w:ascii="仿宋_GB2312" w:eastAsia="仿宋_GB2312" w:hAnsi="仿宋_GB2312" w:cs="仿宋_GB2312" w:hint="eastAsia"/>
          <w:sz w:val="32"/>
          <w:szCs w:val="32"/>
        </w:rPr>
        <w:t>微信</w:t>
      </w:r>
      <w:r>
        <w:rPr>
          <w:rFonts w:ascii="仿宋_GB2312" w:eastAsia="仿宋_GB2312" w:hAnsi="仿宋_GB2312" w:cs="仿宋_GB2312" w:hint="eastAsia"/>
          <w:sz w:val="32"/>
          <w:szCs w:val="32"/>
        </w:rPr>
        <w:t>上</w:t>
      </w:r>
      <w:r w:rsidR="004F69A7">
        <w:rPr>
          <w:rFonts w:ascii="仿宋_GB2312" w:eastAsia="仿宋_GB2312" w:hAnsi="仿宋_GB2312" w:cs="仿宋_GB2312" w:hint="eastAsia"/>
          <w:sz w:val="32"/>
          <w:szCs w:val="32"/>
        </w:rPr>
        <w:t>主动公开55条，</w:t>
      </w:r>
      <w:proofErr w:type="gramStart"/>
      <w:r w:rsidR="004F69A7">
        <w:rPr>
          <w:rFonts w:ascii="仿宋_GB2312" w:eastAsia="仿宋_GB2312" w:hAnsi="仿宋_GB2312" w:cs="仿宋_GB2312" w:hint="eastAsia"/>
          <w:sz w:val="32"/>
          <w:szCs w:val="32"/>
        </w:rPr>
        <w:t>微博上</w:t>
      </w:r>
      <w:proofErr w:type="gramEnd"/>
      <w:r w:rsidR="004F69A7">
        <w:rPr>
          <w:rFonts w:ascii="仿宋_GB2312" w:eastAsia="仿宋_GB2312" w:hAnsi="仿宋_GB2312" w:cs="仿宋_GB2312" w:hint="eastAsia"/>
          <w:sz w:val="32"/>
          <w:szCs w:val="32"/>
        </w:rPr>
        <w:t>主动公开18条，其他新闻网站、论坛等处主动公开285条。</w:t>
      </w:r>
    </w:p>
    <w:p w:rsidR="004F69A7" w:rsidRDefault="00B24CBE" w:rsidP="00B24CBE">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（二）依申请公开</w:t>
      </w:r>
    </w:p>
    <w:p w:rsidR="00833488" w:rsidRDefault="005E69B3" w:rsidP="005E69B3">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认真落实《条例》要求，不断加强办理流程规范性，严格按照依申请公开程序，制作统一文书格式，由办公室受理，分流到责任部门办理，进行跟踪督查。</w:t>
      </w:r>
      <w:r w:rsidR="00833488">
        <w:rPr>
          <w:rFonts w:ascii="仿宋_GB2312" w:eastAsia="仿宋_GB2312" w:hAnsi="仿宋_GB2312" w:cs="仿宋_GB2312" w:hint="eastAsia"/>
          <w:sz w:val="32"/>
          <w:szCs w:val="32"/>
        </w:rPr>
        <w:t>2020年，我局共受理政府信息依申请公开1</w:t>
      </w:r>
      <w:r>
        <w:rPr>
          <w:rFonts w:ascii="仿宋_GB2312" w:eastAsia="仿宋_GB2312" w:hAnsi="仿宋_GB2312" w:cs="仿宋_GB2312"/>
          <w:sz w:val="32"/>
          <w:szCs w:val="32"/>
        </w:rPr>
        <w:t>1</w:t>
      </w:r>
      <w:r w:rsidR="00833488">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答复1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件，</w:t>
      </w:r>
      <w:proofErr w:type="gramStart"/>
      <w:r>
        <w:rPr>
          <w:rFonts w:ascii="仿宋_GB2312" w:eastAsia="仿宋_GB2312" w:hAnsi="仿宋_GB2312" w:cs="仿宋_GB2312" w:hint="eastAsia"/>
          <w:sz w:val="32"/>
          <w:szCs w:val="32"/>
        </w:rPr>
        <w:t>转结下年度</w:t>
      </w:r>
      <w:proofErr w:type="gramEnd"/>
      <w:r>
        <w:rPr>
          <w:rFonts w:ascii="仿宋_GB2312" w:eastAsia="仿宋_GB2312" w:hAnsi="仿宋_GB2312" w:cs="仿宋_GB2312" w:hint="eastAsia"/>
          <w:sz w:val="32"/>
          <w:szCs w:val="32"/>
        </w:rPr>
        <w:t>继续办理1件。全年无一因政府信息公开引发的行政复议或行政诉讼</w:t>
      </w:r>
      <w:r w:rsidR="00833488">
        <w:rPr>
          <w:rFonts w:ascii="仿宋_GB2312" w:eastAsia="仿宋_GB2312" w:hAnsi="仿宋_GB2312" w:cs="仿宋_GB2312" w:hint="eastAsia"/>
          <w:sz w:val="32"/>
          <w:szCs w:val="32"/>
        </w:rPr>
        <w:t>。</w:t>
      </w:r>
    </w:p>
    <w:p w:rsidR="00B24CBE" w:rsidRDefault="00B24CBE" w:rsidP="00B24CBE">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（三）政府信息管理</w:t>
      </w:r>
    </w:p>
    <w:p w:rsidR="00833488" w:rsidRDefault="00E7164D" w:rsidP="008334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认真落实政府信息公开长效管理机制</w:t>
      </w:r>
      <w:r w:rsidR="00833488">
        <w:rPr>
          <w:rFonts w:ascii="仿宋_GB2312" w:eastAsia="仿宋_GB2312" w:hAnsi="仿宋_GB2312" w:cs="仿宋_GB2312" w:hint="eastAsia"/>
          <w:sz w:val="32"/>
          <w:szCs w:val="32"/>
        </w:rPr>
        <w:t>，加强政府信息发布审核，</w:t>
      </w:r>
      <w:r>
        <w:rPr>
          <w:rFonts w:ascii="仿宋_GB2312" w:eastAsia="仿宋_GB2312" w:hAnsi="仿宋_GB2312" w:cs="仿宋_GB2312" w:hint="eastAsia"/>
          <w:sz w:val="32"/>
          <w:szCs w:val="32"/>
        </w:rPr>
        <w:t>及时对</w:t>
      </w:r>
      <w:r w:rsidR="00833488">
        <w:rPr>
          <w:rFonts w:ascii="仿宋_GB2312" w:eastAsia="仿宋_GB2312" w:hAnsi="仿宋_GB2312" w:cs="仿宋_GB2312" w:hint="eastAsia"/>
          <w:sz w:val="32"/>
          <w:szCs w:val="32"/>
        </w:rPr>
        <w:t>相关政府信息进行动态更新，努力把政府信息公开保密审查程序与公文运转程序、信息发布、媒体采访等程序有机结合。积极把政府信息公开工作与各项市</w:t>
      </w:r>
      <w:r w:rsidR="00112694">
        <w:rPr>
          <w:rFonts w:ascii="仿宋_GB2312" w:eastAsia="仿宋_GB2312" w:hAnsi="仿宋_GB2312" w:cs="仿宋_GB2312" w:hint="eastAsia"/>
          <w:sz w:val="32"/>
          <w:szCs w:val="32"/>
        </w:rPr>
        <w:t>场监管工作相</w:t>
      </w:r>
      <w:r w:rsidR="00833488">
        <w:rPr>
          <w:rFonts w:ascii="仿宋_GB2312" w:eastAsia="仿宋_GB2312" w:hAnsi="仿宋_GB2312" w:cs="仿宋_GB2312" w:hint="eastAsia"/>
          <w:sz w:val="32"/>
          <w:szCs w:val="32"/>
        </w:rPr>
        <w:t>结合，抓好重点领域的政府信息公开。</w:t>
      </w:r>
    </w:p>
    <w:p w:rsidR="00B24CBE" w:rsidRDefault="00B24CBE" w:rsidP="00B24CBE">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（四）平台建设</w:t>
      </w:r>
      <w:r w:rsidR="007668EB">
        <w:rPr>
          <w:rFonts w:ascii="仿宋_GB2312" w:eastAsia="仿宋_GB2312" w:hAnsi="仿宋_GB2312" w:cs="仿宋_GB2312" w:hint="eastAsia"/>
          <w:sz w:val="32"/>
          <w:szCs w:val="32"/>
        </w:rPr>
        <w:t>。</w:t>
      </w:r>
    </w:p>
    <w:p w:rsidR="005E69B3" w:rsidRDefault="00833488" w:rsidP="005E69B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切实强化我局政府信息</w:t>
      </w:r>
      <w:bookmarkStart w:id="0" w:name="_GoBack"/>
      <w:bookmarkEnd w:id="0"/>
      <w:r>
        <w:rPr>
          <w:rFonts w:ascii="仿宋_GB2312" w:eastAsia="仿宋_GB2312" w:hAnsi="仿宋_GB2312" w:cs="仿宋_GB2312" w:hint="eastAsia"/>
          <w:sz w:val="32"/>
          <w:szCs w:val="32"/>
        </w:rPr>
        <w:t>公开网站管理，以</w:t>
      </w:r>
      <w:r w:rsidR="00D5660A">
        <w:rPr>
          <w:rFonts w:ascii="仿宋_GB2312" w:eastAsia="仿宋_GB2312" w:hAnsi="仿宋_GB2312" w:cs="仿宋_GB2312" w:hint="eastAsia"/>
          <w:sz w:val="32"/>
          <w:szCs w:val="32"/>
        </w:rPr>
        <w:t>政府网站、“宁海市场监管”</w:t>
      </w:r>
      <w:proofErr w:type="gramStart"/>
      <w:r w:rsidR="00D5660A">
        <w:rPr>
          <w:rFonts w:ascii="仿宋_GB2312" w:eastAsia="仿宋_GB2312" w:hAnsi="仿宋_GB2312" w:cs="仿宋_GB2312" w:hint="eastAsia"/>
          <w:sz w:val="32"/>
          <w:szCs w:val="32"/>
        </w:rPr>
        <w:t>微信公众号</w:t>
      </w:r>
      <w:proofErr w:type="gramEnd"/>
      <w:r w:rsidR="00D5660A">
        <w:rPr>
          <w:rFonts w:ascii="仿宋_GB2312" w:eastAsia="仿宋_GB2312" w:hAnsi="仿宋_GB2312" w:cs="仿宋_GB2312" w:hint="eastAsia"/>
          <w:sz w:val="32"/>
          <w:szCs w:val="32"/>
        </w:rPr>
        <w:t>为局信息公开主</w:t>
      </w:r>
      <w:r w:rsidR="005E69B3">
        <w:rPr>
          <w:rFonts w:ascii="仿宋_GB2312" w:eastAsia="仿宋_GB2312" w:hAnsi="仿宋_GB2312" w:cs="仿宋_GB2312" w:hint="eastAsia"/>
          <w:sz w:val="32"/>
          <w:szCs w:val="32"/>
        </w:rPr>
        <w:t>载体</w:t>
      </w:r>
      <w:r w:rsidR="00D5660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做好</w:t>
      </w:r>
      <w:r>
        <w:rPr>
          <w:rFonts w:ascii="仿宋_GB2312" w:eastAsia="仿宋_GB2312" w:hAnsi="仿宋_GB2312" w:cs="仿宋_GB2312" w:hint="eastAsia"/>
          <w:sz w:val="32"/>
          <w:szCs w:val="32"/>
        </w:rPr>
        <w:lastRenderedPageBreak/>
        <w:t>平台信息发布工作，专人管理负责，</w:t>
      </w:r>
      <w:r w:rsidR="00A4348A">
        <w:rPr>
          <w:rFonts w:ascii="仿宋_GB2312" w:eastAsia="仿宋_GB2312" w:hAnsi="仿宋_GB2312" w:cs="仿宋_GB2312" w:hint="eastAsia"/>
          <w:sz w:val="32"/>
          <w:szCs w:val="32"/>
        </w:rPr>
        <w:t>确保</w:t>
      </w:r>
      <w:r>
        <w:rPr>
          <w:rFonts w:ascii="仿宋_GB2312" w:eastAsia="仿宋_GB2312" w:hAnsi="仿宋_GB2312" w:cs="仿宋_GB2312" w:hint="eastAsia"/>
          <w:sz w:val="32"/>
          <w:szCs w:val="32"/>
        </w:rPr>
        <w:t>信息传递做到及时有效。同时结合微博、</w:t>
      </w:r>
      <w:proofErr w:type="gramStart"/>
      <w:r>
        <w:rPr>
          <w:rFonts w:ascii="仿宋_GB2312" w:eastAsia="仿宋_GB2312" w:hAnsi="仿宋_GB2312" w:cs="仿宋_GB2312" w:hint="eastAsia"/>
          <w:sz w:val="32"/>
          <w:szCs w:val="32"/>
        </w:rPr>
        <w:t>微信特点</w:t>
      </w:r>
      <w:proofErr w:type="gramEnd"/>
      <w:r>
        <w:rPr>
          <w:rFonts w:ascii="仿宋_GB2312" w:eastAsia="仿宋_GB2312" w:hAnsi="仿宋_GB2312" w:cs="仿宋_GB2312" w:hint="eastAsia"/>
          <w:sz w:val="32"/>
          <w:szCs w:val="32"/>
        </w:rPr>
        <w:t>，在编辑、发布微博、</w:t>
      </w:r>
      <w:proofErr w:type="gramStart"/>
      <w:r>
        <w:rPr>
          <w:rFonts w:ascii="仿宋_GB2312" w:eastAsia="仿宋_GB2312" w:hAnsi="仿宋_GB2312" w:cs="仿宋_GB2312" w:hint="eastAsia"/>
          <w:sz w:val="32"/>
          <w:szCs w:val="32"/>
        </w:rPr>
        <w:t>微信时</w:t>
      </w:r>
      <w:proofErr w:type="gramEnd"/>
      <w:r>
        <w:rPr>
          <w:rFonts w:ascii="仿宋_GB2312" w:eastAsia="仿宋_GB2312" w:hAnsi="仿宋_GB2312" w:cs="仿宋_GB2312" w:hint="eastAsia"/>
          <w:sz w:val="32"/>
          <w:szCs w:val="32"/>
        </w:rPr>
        <w:t>注重实用网络语言，不断增强微博、</w:t>
      </w:r>
      <w:proofErr w:type="gramStart"/>
      <w:r>
        <w:rPr>
          <w:rFonts w:ascii="仿宋_GB2312" w:eastAsia="仿宋_GB2312" w:hAnsi="仿宋_GB2312" w:cs="仿宋_GB2312" w:hint="eastAsia"/>
          <w:sz w:val="32"/>
          <w:szCs w:val="32"/>
        </w:rPr>
        <w:t>微信可读性</w:t>
      </w:r>
      <w:proofErr w:type="gramEnd"/>
      <w:r>
        <w:rPr>
          <w:rFonts w:ascii="仿宋_GB2312" w:eastAsia="仿宋_GB2312" w:hAnsi="仿宋_GB2312" w:cs="仿宋_GB2312" w:hint="eastAsia"/>
          <w:sz w:val="32"/>
          <w:szCs w:val="32"/>
        </w:rPr>
        <w:t>和吸引力。</w:t>
      </w:r>
    </w:p>
    <w:p w:rsidR="00B24CBE" w:rsidRDefault="00B24CBE" w:rsidP="005E69B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（五）监督保障</w:t>
      </w:r>
      <w:r w:rsidR="00A16709">
        <w:rPr>
          <w:rFonts w:ascii="仿宋_GB2312" w:eastAsia="仿宋_GB2312" w:hAnsi="仿宋_GB2312" w:cs="仿宋_GB2312" w:hint="eastAsia"/>
          <w:sz w:val="32"/>
          <w:szCs w:val="32"/>
        </w:rPr>
        <w:t>。</w:t>
      </w:r>
    </w:p>
    <w:p w:rsidR="00592EE8" w:rsidRDefault="00A16709" w:rsidP="00E7164D">
      <w:pPr>
        <w:pStyle w:val="a3"/>
        <w:widowControl/>
        <w:spacing w:before="0" w:beforeAutospacing="0" w:after="0" w:afterAutospacing="0" w:line="520" w:lineRule="exact"/>
        <w:ind w:firstLineChars="200" w:firstLine="640"/>
        <w:jc w:val="both"/>
        <w:rPr>
          <w:rFonts w:ascii="黑体" w:eastAsia="黑体" w:hAnsi="黑体" w:cs="黑体"/>
          <w:b/>
          <w:color w:val="333333"/>
          <w:sz w:val="32"/>
          <w:szCs w:val="32"/>
        </w:rPr>
      </w:pPr>
      <w:r>
        <w:rPr>
          <w:rFonts w:ascii="仿宋_GB2312" w:eastAsia="仿宋_GB2312" w:hAnsi="仿宋_GB2312" w:cs="仿宋_GB2312" w:hint="eastAsia"/>
          <w:sz w:val="32"/>
          <w:szCs w:val="32"/>
        </w:rPr>
        <w:t>一是强化制度执行，将政府信息公开要求</w:t>
      </w:r>
      <w:proofErr w:type="gramStart"/>
      <w:r>
        <w:rPr>
          <w:rFonts w:ascii="仿宋_GB2312" w:eastAsia="仿宋_GB2312" w:hAnsi="仿宋_GB2312" w:cs="仿宋_GB2312" w:hint="eastAsia"/>
          <w:sz w:val="32"/>
          <w:szCs w:val="32"/>
        </w:rPr>
        <w:t>列入县</w:t>
      </w:r>
      <w:proofErr w:type="gramEnd"/>
      <w:r>
        <w:rPr>
          <w:rFonts w:ascii="仿宋_GB2312" w:eastAsia="仿宋_GB2312" w:hAnsi="仿宋_GB2312" w:cs="仿宋_GB2312" w:hint="eastAsia"/>
          <w:sz w:val="32"/>
          <w:szCs w:val="32"/>
        </w:rPr>
        <w:t>市场监管局制度汇编，明确政府信息公开工作机构与政府信息公开操作规范，充分落实制度的执行。二是强化规范发布，由专人按照政府信息发布的规定，对所有待发布的信息进行审核，确保不出现信息遗漏、时间错位、图片表格错版等问题。三是完善考核体系，增加政府信息公开工作考核的比重与信息文稿提供重大错误的一票否决项，将任务压实到各单位、科所。四是完善组织保障，明确政府信息公开的分管领导，明确1名干部专门负责此项工作，并由办公室全力做好支持。</w:t>
      </w:r>
      <w:r>
        <w:rPr>
          <w:rFonts w:ascii="黑体" w:eastAsia="黑体" w:hAnsi="黑体" w:cs="黑体" w:hint="eastAsia"/>
          <w:b/>
          <w:color w:val="333333"/>
          <w:sz w:val="32"/>
          <w:szCs w:val="32"/>
        </w:rPr>
        <w:br w:type="page"/>
      </w:r>
    </w:p>
    <w:p w:rsidR="00592EE8" w:rsidRDefault="00A16709">
      <w:pPr>
        <w:pStyle w:val="a3"/>
        <w:widowControl/>
        <w:spacing w:before="0" w:beforeAutospacing="0" w:after="0" w:afterAutospacing="0" w:line="432" w:lineRule="atLeast"/>
        <w:ind w:firstLineChars="200" w:firstLine="643"/>
        <w:jc w:val="both"/>
        <w:rPr>
          <w:rFonts w:ascii="黑体" w:eastAsia="黑体" w:hAnsi="黑体" w:cs="黑体"/>
          <w:b/>
          <w:color w:val="333333"/>
          <w:sz w:val="32"/>
          <w:szCs w:val="32"/>
        </w:rPr>
      </w:pPr>
      <w:r>
        <w:rPr>
          <w:rFonts w:ascii="黑体" w:eastAsia="黑体" w:hAnsi="黑体" w:cs="黑体" w:hint="eastAsia"/>
          <w:b/>
          <w:color w:val="333333"/>
          <w:sz w:val="32"/>
          <w:szCs w:val="32"/>
        </w:rPr>
        <w:lastRenderedPageBreak/>
        <w:t>二、主动公开政府信息情况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592EE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第二十条第（一）项</w:t>
            </w:r>
          </w:p>
        </w:tc>
      </w:tr>
      <w:tr w:rsidR="00592EE8">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本年新</w:t>
            </w:r>
            <w:r>
              <w:rPr>
                <w:rFonts w:ascii="Times New Roman" w:eastAsia="宋体" w:hAnsi="Times New Roman" w:cs="Times New Roman"/>
                <w:color w:val="000000"/>
                <w:sz w:val="20"/>
                <w:szCs w:val="20"/>
              </w:rPr>
              <w:br/>
            </w:r>
            <w:r>
              <w:rPr>
                <w:rFonts w:ascii="Times New Roman" w:eastAsia="宋体" w:hAnsi="Calibri" w:cs="Times New Roman"/>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本年新</w:t>
            </w:r>
            <w:r>
              <w:rPr>
                <w:rFonts w:ascii="Times New Roman" w:eastAsia="宋体" w:hAnsi="Times New Roman" w:cs="Times New Roman"/>
                <w:color w:val="000000"/>
                <w:sz w:val="20"/>
                <w:szCs w:val="20"/>
              </w:rPr>
              <w:br/>
            </w:r>
            <w:r>
              <w:rPr>
                <w:rFonts w:ascii="Times New Roman" w:eastAsia="宋体" w:hAnsi="Calibri" w:cs="Times New Roman"/>
                <w:sz w:val="20"/>
                <w:szCs w:val="20"/>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对外公开总数量</w:t>
            </w:r>
          </w:p>
        </w:tc>
      </w:tr>
      <w:tr w:rsidR="00592EE8">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Times New Roman" w:cs="Times New Roman"/>
                <w:color w:val="000000"/>
                <w:sz w:val="20"/>
                <w:szCs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Times New Roman" w:cs="Times New Roman"/>
                <w:color w:val="00000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Times New Roman" w:cs="Times New Roman"/>
                <w:color w:val="000000"/>
                <w:sz w:val="20"/>
                <w:szCs w:val="20"/>
              </w:rPr>
              <w:t>0</w:t>
            </w:r>
          </w:p>
        </w:tc>
      </w:tr>
      <w:tr w:rsidR="00592EE8">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w:t>
            </w:r>
          </w:p>
        </w:tc>
      </w:tr>
      <w:tr w:rsidR="00592EE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第二十条第（五）项</w:t>
            </w:r>
          </w:p>
        </w:tc>
      </w:tr>
      <w:tr w:rsidR="00592EE8">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本年增</w:t>
            </w:r>
            <w:r>
              <w:rPr>
                <w:rFonts w:ascii="Times New Roman" w:eastAsia="宋体" w:hAnsi="Times New Roman" w:cs="Times New Roman"/>
                <w:color w:val="000000"/>
                <w:sz w:val="20"/>
                <w:szCs w:val="20"/>
              </w:rPr>
              <w:t>/</w:t>
            </w:r>
            <w:r>
              <w:rPr>
                <w:rFonts w:ascii="Times New Roman" w:eastAsia="宋体" w:hAnsi="宋体" w:cs="Times New Roman"/>
                <w:color w:val="00000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处理决定数量</w:t>
            </w:r>
          </w:p>
        </w:tc>
      </w:tr>
      <w:tr w:rsidR="00592EE8">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16</w:t>
            </w:r>
          </w:p>
        </w:tc>
        <w:tc>
          <w:tcPr>
            <w:tcW w:w="126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+127</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30942</w:t>
            </w:r>
          </w:p>
        </w:tc>
      </w:tr>
      <w:tr w:rsidR="00592EE8">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119</w:t>
            </w:r>
          </w:p>
        </w:tc>
        <w:tc>
          <w:tcPr>
            <w:tcW w:w="126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+21</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5074</w:t>
            </w:r>
          </w:p>
        </w:tc>
      </w:tr>
      <w:tr w:rsidR="00592EE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第二十条第（六）项</w:t>
            </w:r>
          </w:p>
        </w:tc>
      </w:tr>
      <w:tr w:rsidR="00592EE8">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本年增</w:t>
            </w:r>
            <w:r>
              <w:rPr>
                <w:rFonts w:ascii="Times New Roman" w:eastAsia="宋体" w:hAnsi="Times New Roman" w:cs="Times New Roman"/>
                <w:color w:val="000000"/>
                <w:sz w:val="20"/>
                <w:szCs w:val="20"/>
              </w:rPr>
              <w:t>/</w:t>
            </w:r>
            <w:r>
              <w:rPr>
                <w:rFonts w:ascii="Times New Roman" w:eastAsia="宋体" w:hAnsi="宋体" w:cs="Times New Roman"/>
                <w:color w:val="00000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处理决定数量</w:t>
            </w:r>
          </w:p>
        </w:tc>
      </w:tr>
      <w:tr w:rsidR="00592EE8">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704</w:t>
            </w:r>
          </w:p>
        </w:tc>
        <w:tc>
          <w:tcPr>
            <w:tcW w:w="126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868</w:t>
            </w:r>
          </w:p>
        </w:tc>
      </w:tr>
      <w:tr w:rsidR="00592EE8">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3</w:t>
            </w:r>
            <w:r>
              <w:rPr>
                <w:rFonts w:ascii="Times New Roman" w:eastAsia="宋体" w:hAnsi="Times New Roman" w:cs="Times New Roman" w:hint="eastAsia"/>
                <w:color w:val="000000"/>
                <w:sz w:val="20"/>
                <w:szCs w:val="20"/>
              </w:rPr>
              <w:t>3</w:t>
            </w:r>
          </w:p>
        </w:tc>
        <w:tc>
          <w:tcPr>
            <w:tcW w:w="126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128</w:t>
            </w:r>
          </w:p>
        </w:tc>
      </w:tr>
      <w:tr w:rsidR="00592EE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第二十条第（八）项</w:t>
            </w:r>
          </w:p>
        </w:tc>
      </w:tr>
      <w:tr w:rsidR="00592EE8">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本年增</w:t>
            </w:r>
            <w:r>
              <w:rPr>
                <w:rFonts w:ascii="Times New Roman" w:eastAsia="宋体" w:hAnsi="Times New Roman" w:cs="Times New Roman"/>
                <w:color w:val="000000"/>
                <w:sz w:val="20"/>
                <w:szCs w:val="20"/>
              </w:rPr>
              <w:t>/</w:t>
            </w:r>
            <w:r>
              <w:rPr>
                <w:rFonts w:ascii="Times New Roman" w:eastAsia="宋体" w:hAnsi="宋体" w:cs="Times New Roman"/>
                <w:color w:val="000000"/>
                <w:sz w:val="20"/>
                <w:szCs w:val="20"/>
              </w:rPr>
              <w:t>减</w:t>
            </w:r>
          </w:p>
        </w:tc>
      </w:tr>
      <w:tr w:rsidR="00592EE8">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Times New Roman" w:cs="Times New Roman"/>
                <w:color w:val="000000"/>
                <w:sz w:val="20"/>
                <w:szCs w:val="20"/>
              </w:rPr>
              <w:t>2</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color w:val="000000"/>
                <w:sz w:val="20"/>
                <w:szCs w:val="20"/>
              </w:rPr>
              <w:t>0</w:t>
            </w:r>
          </w:p>
        </w:tc>
      </w:tr>
      <w:tr w:rsidR="00592EE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第二十条第（九）项</w:t>
            </w:r>
          </w:p>
        </w:tc>
      </w:tr>
      <w:tr w:rsidR="00592EE8">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592EE8" w:rsidRDefault="00A16709">
            <w:pPr>
              <w:spacing w:after="180"/>
              <w:jc w:val="center"/>
              <w:rPr>
                <w:rFonts w:ascii="Times New Roman" w:hAnsi="Times New Roman" w:cs="Times New Roman"/>
              </w:rPr>
            </w:pPr>
            <w:proofErr w:type="gramStart"/>
            <w:r>
              <w:rPr>
                <w:rFonts w:ascii="Times New Roman" w:eastAsia="宋体" w:hAnsi="宋体" w:cs="Times New Roman"/>
                <w:color w:val="000000"/>
                <w:sz w:val="20"/>
                <w:szCs w:val="20"/>
              </w:rPr>
              <w:t>采购总</w:t>
            </w:r>
            <w:proofErr w:type="gramEnd"/>
            <w:r>
              <w:rPr>
                <w:rFonts w:ascii="Times New Roman" w:eastAsia="宋体" w:hAnsi="宋体" w:cs="Times New Roman"/>
                <w:color w:val="000000"/>
                <w:sz w:val="20"/>
                <w:szCs w:val="20"/>
              </w:rPr>
              <w:t>金额</w:t>
            </w:r>
          </w:p>
        </w:tc>
      </w:tr>
      <w:tr w:rsidR="00592EE8">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color w:val="000000"/>
                <w:sz w:val="20"/>
                <w:szCs w:val="20"/>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50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592EE8" w:rsidRDefault="00A16709">
            <w:pPr>
              <w:rPr>
                <w:rFonts w:ascii="Times New Roman" w:eastAsia="宋体" w:hAnsi="Times New Roman" w:cs="Times New Roman"/>
                <w:color w:val="000000"/>
                <w:sz w:val="20"/>
                <w:szCs w:val="20"/>
              </w:rPr>
            </w:pPr>
            <w:r>
              <w:rPr>
                <w:rFonts w:ascii="Times New Roman" w:eastAsia="宋体" w:hAnsi="宋体" w:cs="Times New Roman" w:hint="eastAsia"/>
                <w:color w:val="000000"/>
                <w:sz w:val="20"/>
                <w:szCs w:val="20"/>
              </w:rPr>
              <w:t>28.83</w:t>
            </w:r>
            <w:r>
              <w:rPr>
                <w:rFonts w:ascii="Times New Roman" w:eastAsia="宋体" w:hAnsi="宋体" w:cs="Times New Roman"/>
                <w:color w:val="000000"/>
                <w:sz w:val="20"/>
                <w:szCs w:val="20"/>
              </w:rPr>
              <w:t>万元</w:t>
            </w:r>
          </w:p>
        </w:tc>
      </w:tr>
    </w:tbl>
    <w:p w:rsidR="00592EE8" w:rsidRDefault="00592EE8">
      <w:pPr>
        <w:pStyle w:val="a3"/>
        <w:widowControl/>
        <w:spacing w:before="0" w:beforeAutospacing="0" w:after="0" w:afterAutospacing="0" w:line="432" w:lineRule="atLeast"/>
        <w:ind w:firstLine="420"/>
        <w:jc w:val="both"/>
        <w:rPr>
          <w:rFonts w:ascii="Times New Roman" w:hAnsi="Times New Roman"/>
        </w:rPr>
      </w:pPr>
    </w:p>
    <w:p w:rsidR="00592EE8" w:rsidRDefault="00A16709">
      <w:pPr>
        <w:rPr>
          <w:rFonts w:ascii="黑体" w:eastAsia="黑体" w:hAnsi="黑体" w:cs="黑体"/>
          <w:b/>
          <w:color w:val="333333"/>
          <w:sz w:val="32"/>
          <w:szCs w:val="32"/>
        </w:rPr>
      </w:pPr>
      <w:r>
        <w:rPr>
          <w:rFonts w:ascii="黑体" w:eastAsia="黑体" w:hAnsi="黑体" w:cs="黑体" w:hint="eastAsia"/>
          <w:b/>
          <w:color w:val="333333"/>
          <w:sz w:val="32"/>
          <w:szCs w:val="32"/>
        </w:rPr>
        <w:br w:type="page"/>
      </w:r>
    </w:p>
    <w:p w:rsidR="00592EE8" w:rsidRDefault="00A16709">
      <w:pPr>
        <w:pStyle w:val="a3"/>
        <w:widowControl/>
        <w:spacing w:before="0" w:beforeAutospacing="0" w:after="0" w:afterAutospacing="0" w:line="432" w:lineRule="atLeast"/>
        <w:ind w:firstLineChars="200" w:firstLine="643"/>
        <w:jc w:val="both"/>
        <w:rPr>
          <w:rFonts w:ascii="黑体" w:eastAsia="黑体" w:hAnsi="黑体" w:cs="黑体"/>
          <w:b/>
          <w:color w:val="333333"/>
          <w:sz w:val="32"/>
          <w:szCs w:val="32"/>
        </w:rPr>
      </w:pPr>
      <w:r>
        <w:rPr>
          <w:rFonts w:ascii="黑体" w:eastAsia="黑体" w:hAnsi="黑体" w:cs="黑体" w:hint="eastAsia"/>
          <w:b/>
          <w:color w:val="333333"/>
          <w:sz w:val="32"/>
          <w:szCs w:val="32"/>
        </w:rPr>
        <w:lastRenderedPageBreak/>
        <w:t>三、收到和处理政府信息公开申请情况</w:t>
      </w:r>
    </w:p>
    <w:p w:rsidR="00592EE8" w:rsidRDefault="00592EE8">
      <w:pPr>
        <w:pStyle w:val="a3"/>
        <w:widowControl/>
        <w:spacing w:before="0" w:beforeAutospacing="0" w:after="0" w:afterAutospacing="0" w:line="432" w:lineRule="atLeast"/>
        <w:ind w:firstLineChars="200" w:firstLine="480"/>
        <w:jc w:val="both"/>
        <w:rPr>
          <w:rFonts w:ascii="Times New Roman" w:hAnsi="Times New Roman"/>
        </w:rPr>
      </w:pPr>
    </w:p>
    <w:tbl>
      <w:tblPr>
        <w:tblW w:w="8543"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18"/>
        <w:gridCol w:w="854"/>
        <w:gridCol w:w="2086"/>
        <w:gridCol w:w="623"/>
        <w:gridCol w:w="755"/>
        <w:gridCol w:w="755"/>
        <w:gridCol w:w="814"/>
        <w:gridCol w:w="773"/>
        <w:gridCol w:w="576"/>
        <w:gridCol w:w="689"/>
      </w:tblGrid>
      <w:tr w:rsidR="00592EE8">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（本列数据的勾</w:t>
            </w:r>
            <w:proofErr w:type="gramStart"/>
            <w:r>
              <w:rPr>
                <w:rFonts w:ascii="Times New Roman" w:eastAsia="宋体" w:hAnsi="宋体" w:cs="Times New Roman"/>
                <w:sz w:val="20"/>
                <w:szCs w:val="20"/>
              </w:rPr>
              <w:t>稽</w:t>
            </w:r>
            <w:proofErr w:type="gramEnd"/>
            <w:r>
              <w:rPr>
                <w:rFonts w:ascii="Times New Roman" w:eastAsia="宋体" w:hAnsi="宋体" w:cs="Times New Roman"/>
                <w:sz w:val="20"/>
                <w:szCs w:val="20"/>
              </w:rPr>
              <w:t>关系为：第一项加第二项之和，等于第三项加第四项之和）</w:t>
            </w:r>
          </w:p>
        </w:tc>
        <w:tc>
          <w:tcPr>
            <w:tcW w:w="4985"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申请人情况</w:t>
            </w:r>
          </w:p>
        </w:tc>
      </w:tr>
      <w:tr w:rsidR="00592EE8">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623" w:type="dxa"/>
            <w:vMerge w:val="restart"/>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自然人</w:t>
            </w:r>
          </w:p>
        </w:tc>
        <w:tc>
          <w:tcPr>
            <w:tcW w:w="3673"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法人或其他组织</w:t>
            </w:r>
          </w:p>
        </w:tc>
        <w:tc>
          <w:tcPr>
            <w:tcW w:w="68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总计</w:t>
            </w:r>
          </w:p>
        </w:tc>
      </w:tr>
      <w:tr w:rsidR="00592EE8">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623"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科研机构</w:t>
            </w:r>
          </w:p>
        </w:tc>
        <w:tc>
          <w:tcPr>
            <w:tcW w:w="814"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社会公益组织</w:t>
            </w:r>
          </w:p>
        </w:tc>
        <w:tc>
          <w:tcPr>
            <w:tcW w:w="773"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法律服务机构</w:t>
            </w:r>
          </w:p>
        </w:tc>
        <w:tc>
          <w:tcPr>
            <w:tcW w:w="576"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其他</w:t>
            </w:r>
          </w:p>
        </w:tc>
        <w:tc>
          <w:tcPr>
            <w:tcW w:w="689" w:type="dxa"/>
            <w:vMerge/>
            <w:tcBorders>
              <w:top w:val="single" w:sz="8" w:space="0" w:color="auto"/>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r>
      <w:tr w:rsidR="00592EE8">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sz w:val="20"/>
                <w:szCs w:val="20"/>
              </w:rPr>
              <w:t>一、本年新收政府信息公开申请数量</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11</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11</w:t>
            </w:r>
          </w:p>
        </w:tc>
      </w:tr>
      <w:tr w:rsidR="00592EE8">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sz w:val="20"/>
                <w:szCs w:val="20"/>
              </w:rPr>
              <w:t>二、上年结转政府信息公开申请数量</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楷体" w:cs="Times New Roman"/>
                <w:sz w:val="20"/>
                <w:szCs w:val="20"/>
              </w:rPr>
              <w:t>（一）予以公开</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7</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楷体" w:cs="Times New Roman"/>
                <w:sz w:val="20"/>
                <w:szCs w:val="20"/>
              </w:rPr>
              <w:t>（二）部分公开（区分处理的，只计这一情形，不计其他情形）</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2</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2</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楷体" w:cs="Times New Roman"/>
                <w:sz w:val="20"/>
                <w:szCs w:val="20"/>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1.</w:t>
            </w:r>
            <w:r>
              <w:rPr>
                <w:rFonts w:ascii="Times New Roman" w:eastAsia="楷体" w:hAnsi="楷体" w:cs="Times New Roman"/>
                <w:sz w:val="20"/>
                <w:szCs w:val="20"/>
              </w:rPr>
              <w:t>属于国家秘密</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2.</w:t>
            </w:r>
            <w:r>
              <w:rPr>
                <w:rFonts w:ascii="Times New Roman" w:eastAsia="楷体" w:hAnsi="楷体" w:cs="Times New Roman"/>
                <w:sz w:val="20"/>
                <w:szCs w:val="20"/>
              </w:rPr>
              <w:t>其他法律行政法规禁止公开</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3.</w:t>
            </w:r>
            <w:r>
              <w:rPr>
                <w:rFonts w:ascii="Times New Roman" w:eastAsia="楷体" w:hAnsi="楷体" w:cs="Times New Roman"/>
                <w:sz w:val="20"/>
                <w:szCs w:val="20"/>
              </w:rPr>
              <w:t>危及</w:t>
            </w:r>
            <w:r>
              <w:rPr>
                <w:rFonts w:ascii="Times New Roman" w:eastAsia="楷体" w:hAnsi="Times New Roman" w:cs="Times New Roman"/>
                <w:sz w:val="20"/>
                <w:szCs w:val="20"/>
              </w:rPr>
              <w:t>“</w:t>
            </w:r>
            <w:r>
              <w:rPr>
                <w:rFonts w:ascii="Times New Roman" w:eastAsia="楷体" w:hAnsi="楷体" w:cs="Times New Roman"/>
                <w:sz w:val="20"/>
                <w:szCs w:val="20"/>
              </w:rPr>
              <w:t>三安全</w:t>
            </w:r>
            <w:proofErr w:type="gramStart"/>
            <w:r>
              <w:rPr>
                <w:rFonts w:ascii="Times New Roman" w:eastAsia="楷体" w:hAnsi="楷体" w:cs="Times New Roman"/>
                <w:sz w:val="20"/>
                <w:szCs w:val="20"/>
              </w:rPr>
              <w:t>一</w:t>
            </w:r>
            <w:proofErr w:type="gramEnd"/>
            <w:r>
              <w:rPr>
                <w:rFonts w:ascii="Times New Roman" w:eastAsia="楷体" w:hAnsi="楷体" w:cs="Times New Roman"/>
                <w:sz w:val="20"/>
                <w:szCs w:val="20"/>
              </w:rPr>
              <w:t>稳定</w:t>
            </w:r>
            <w:r>
              <w:rPr>
                <w:rFonts w:ascii="Times New Roman" w:eastAsia="楷体" w:hAnsi="Times New Roman" w:cs="Times New Roman"/>
                <w:sz w:val="20"/>
                <w:szCs w:val="20"/>
              </w:rPr>
              <w:t>”</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4.</w:t>
            </w:r>
            <w:r>
              <w:rPr>
                <w:rFonts w:ascii="Times New Roman" w:eastAsia="楷体" w:hAnsi="楷体" w:cs="Times New Roman"/>
                <w:sz w:val="20"/>
                <w:szCs w:val="20"/>
              </w:rPr>
              <w:t>保护第三方合法权益</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5.</w:t>
            </w:r>
            <w:r>
              <w:rPr>
                <w:rFonts w:ascii="Times New Roman" w:eastAsia="楷体" w:hAnsi="楷体" w:cs="Times New Roman"/>
                <w:sz w:val="20"/>
                <w:szCs w:val="20"/>
              </w:rPr>
              <w:t>属于三类内部事务信息</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6.</w:t>
            </w:r>
            <w:r>
              <w:rPr>
                <w:rFonts w:ascii="Times New Roman" w:eastAsia="楷体" w:hAnsi="楷体" w:cs="Times New Roman"/>
                <w:sz w:val="20"/>
                <w:szCs w:val="20"/>
              </w:rPr>
              <w:t>属于四类过程性信息</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7.</w:t>
            </w:r>
            <w:r>
              <w:rPr>
                <w:rFonts w:ascii="Times New Roman" w:eastAsia="楷体" w:hAnsi="楷体" w:cs="Times New Roman"/>
                <w:sz w:val="20"/>
                <w:szCs w:val="20"/>
              </w:rPr>
              <w:t>属于行政执法案卷</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8.</w:t>
            </w:r>
            <w:r>
              <w:rPr>
                <w:rFonts w:ascii="Times New Roman" w:eastAsia="楷体" w:hAnsi="楷体" w:cs="Times New Roman"/>
                <w:sz w:val="20"/>
                <w:szCs w:val="20"/>
              </w:rPr>
              <w:t>属于行政查询事项</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楷体" w:cs="Times New Roman"/>
                <w:sz w:val="20"/>
                <w:szCs w:val="20"/>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1.</w:t>
            </w:r>
            <w:r>
              <w:rPr>
                <w:rFonts w:ascii="Times New Roman" w:eastAsia="楷体" w:hAnsi="楷体" w:cs="Times New Roman"/>
                <w:sz w:val="20"/>
                <w:szCs w:val="20"/>
              </w:rPr>
              <w:t>本机关不掌握相关政府信息</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2.</w:t>
            </w:r>
            <w:r>
              <w:rPr>
                <w:rFonts w:ascii="Times New Roman" w:eastAsia="楷体" w:hAnsi="楷体" w:cs="Times New Roman"/>
                <w:sz w:val="20"/>
                <w:szCs w:val="20"/>
              </w:rPr>
              <w:t>没有现成信息需要另行制作</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3.</w:t>
            </w:r>
            <w:r>
              <w:rPr>
                <w:rFonts w:ascii="Times New Roman" w:eastAsia="楷体" w:hAnsi="楷体" w:cs="Times New Roman"/>
                <w:sz w:val="20"/>
                <w:szCs w:val="20"/>
              </w:rPr>
              <w:t>补正后申请内容仍不明确</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楷体" w:cs="Times New Roman"/>
                <w:sz w:val="20"/>
                <w:szCs w:val="20"/>
              </w:rPr>
              <w:t>（五）</w:t>
            </w:r>
            <w:proofErr w:type="gramStart"/>
            <w:r>
              <w:rPr>
                <w:rFonts w:ascii="Times New Roman" w:eastAsia="楷体" w:hAnsi="楷体" w:cs="Times New Roman"/>
                <w:sz w:val="20"/>
                <w:szCs w:val="20"/>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1.</w:t>
            </w:r>
            <w:r>
              <w:rPr>
                <w:rFonts w:ascii="Times New Roman" w:eastAsia="楷体" w:hAnsi="楷体" w:cs="Times New Roman"/>
                <w:sz w:val="20"/>
                <w:szCs w:val="20"/>
              </w:rPr>
              <w:t>信访举报投诉类申请</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2.</w:t>
            </w:r>
            <w:r>
              <w:rPr>
                <w:rFonts w:ascii="Times New Roman" w:eastAsia="楷体" w:hAnsi="楷体" w:cs="Times New Roman"/>
                <w:sz w:val="20"/>
                <w:szCs w:val="20"/>
              </w:rPr>
              <w:t>重复申请</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3.</w:t>
            </w:r>
            <w:r>
              <w:rPr>
                <w:rFonts w:ascii="Times New Roman" w:eastAsia="楷体" w:hAnsi="楷体" w:cs="Times New Roman"/>
                <w:sz w:val="20"/>
                <w:szCs w:val="20"/>
              </w:rPr>
              <w:t>要求提供公开出版物</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4.</w:t>
            </w:r>
            <w:r>
              <w:rPr>
                <w:rFonts w:ascii="Times New Roman" w:eastAsia="楷体" w:hAnsi="楷体" w:cs="Times New Roman"/>
                <w:sz w:val="20"/>
                <w:szCs w:val="20"/>
              </w:rPr>
              <w:t>无正当理由大量反复申请</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Times New Roman" w:cs="Times New Roman"/>
                <w:sz w:val="20"/>
                <w:szCs w:val="20"/>
              </w:rPr>
              <w:t>5.</w:t>
            </w:r>
            <w:r>
              <w:rPr>
                <w:rFonts w:ascii="Times New Roman" w:eastAsia="楷体" w:hAnsi="楷体" w:cs="Times New Roman"/>
                <w:sz w:val="20"/>
                <w:szCs w:val="20"/>
              </w:rPr>
              <w:t>要求行政机关确认或重新出具已获取信息</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楷体" w:cs="Times New Roman"/>
                <w:sz w:val="20"/>
                <w:szCs w:val="20"/>
              </w:rPr>
              <w:t>（六）其他处理</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r>
      <w:tr w:rsidR="00592EE8">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楷体" w:hAnsi="楷体" w:cs="Times New Roman"/>
                <w:sz w:val="20"/>
                <w:szCs w:val="20"/>
              </w:rPr>
              <w:t>（七）总计</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10</w:t>
            </w:r>
          </w:p>
        </w:tc>
      </w:tr>
      <w:tr w:rsidR="00592EE8">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rPr>
                <w:rFonts w:ascii="Times New Roman" w:hAnsi="Times New Roman" w:cs="Times New Roman"/>
              </w:rPr>
            </w:pPr>
            <w:r>
              <w:rPr>
                <w:rFonts w:ascii="Times New Roman" w:eastAsia="宋体" w:hAnsi="宋体" w:cs="Times New Roman"/>
                <w:sz w:val="20"/>
                <w:szCs w:val="20"/>
              </w:rPr>
              <w:t>四、结转下年度继续办理</w:t>
            </w:r>
          </w:p>
        </w:tc>
        <w:tc>
          <w:tcPr>
            <w:tcW w:w="62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81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773"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57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w:t>
            </w:r>
          </w:p>
        </w:tc>
        <w:tc>
          <w:tcPr>
            <w:tcW w:w="6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1</w:t>
            </w:r>
          </w:p>
        </w:tc>
      </w:tr>
    </w:tbl>
    <w:p w:rsidR="00592EE8" w:rsidRDefault="00592EE8">
      <w:pPr>
        <w:pStyle w:val="a3"/>
        <w:widowControl/>
        <w:spacing w:before="0" w:beforeAutospacing="0" w:after="0" w:afterAutospacing="0" w:line="432" w:lineRule="atLeast"/>
        <w:ind w:firstLine="420"/>
        <w:jc w:val="both"/>
        <w:rPr>
          <w:rFonts w:ascii="Times New Roman" w:hAnsi="Times New Roman"/>
        </w:rPr>
      </w:pPr>
    </w:p>
    <w:p w:rsidR="00592EE8" w:rsidRDefault="00A16709">
      <w:pPr>
        <w:pStyle w:val="a3"/>
        <w:widowControl/>
        <w:spacing w:before="0" w:beforeAutospacing="0" w:after="0" w:afterAutospacing="0" w:line="432" w:lineRule="atLeast"/>
        <w:ind w:firstLineChars="200" w:firstLine="643"/>
        <w:jc w:val="both"/>
        <w:rPr>
          <w:rFonts w:ascii="黑体" w:eastAsia="黑体" w:hAnsi="黑体" w:cs="黑体"/>
          <w:b/>
          <w:color w:val="333333"/>
          <w:sz w:val="32"/>
          <w:szCs w:val="32"/>
        </w:rPr>
      </w:pPr>
      <w:r>
        <w:rPr>
          <w:rFonts w:ascii="黑体" w:eastAsia="黑体" w:hAnsi="黑体" w:cs="黑体" w:hint="eastAsia"/>
          <w:b/>
          <w:color w:val="333333"/>
          <w:sz w:val="32"/>
          <w:szCs w:val="32"/>
        </w:rPr>
        <w:t>四、政府信息公开行政复议、行政诉讼情况</w:t>
      </w:r>
    </w:p>
    <w:p w:rsidR="00592EE8" w:rsidRDefault="00592EE8">
      <w:pPr>
        <w:pStyle w:val="a3"/>
        <w:widowControl/>
        <w:spacing w:before="0" w:beforeAutospacing="0" w:after="0" w:afterAutospacing="0" w:line="432" w:lineRule="atLeast"/>
        <w:ind w:firstLine="420"/>
        <w:jc w:val="both"/>
        <w:rPr>
          <w:rFonts w:ascii="Times New Roman" w:hAnsi="Times New Roman"/>
        </w:rPr>
      </w:pPr>
    </w:p>
    <w:tbl>
      <w:tblPr>
        <w:tblW w:w="873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489"/>
        <w:gridCol w:w="550"/>
        <w:gridCol w:w="605"/>
        <w:gridCol w:w="605"/>
        <w:gridCol w:w="605"/>
        <w:gridCol w:w="528"/>
        <w:gridCol w:w="605"/>
        <w:gridCol w:w="605"/>
        <w:gridCol w:w="605"/>
        <w:gridCol w:w="606"/>
        <w:gridCol w:w="517"/>
      </w:tblGrid>
      <w:tr w:rsidR="00592EE8">
        <w:trPr>
          <w:jc w:val="center"/>
        </w:trPr>
        <w:tc>
          <w:tcPr>
            <w:tcW w:w="290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行政复议</w:t>
            </w:r>
          </w:p>
        </w:tc>
        <w:tc>
          <w:tcPr>
            <w:tcW w:w="5831"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行政诉讼</w:t>
            </w:r>
          </w:p>
        </w:tc>
      </w:tr>
      <w:tr w:rsidR="00592EE8">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尚未审结</w:t>
            </w:r>
          </w:p>
        </w:tc>
        <w:tc>
          <w:tcPr>
            <w:tcW w:w="48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总计</w:t>
            </w:r>
          </w:p>
        </w:tc>
        <w:tc>
          <w:tcPr>
            <w:tcW w:w="2893"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未经复议直接起诉</w:t>
            </w:r>
          </w:p>
        </w:tc>
        <w:tc>
          <w:tcPr>
            <w:tcW w:w="2938"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复议后起诉</w:t>
            </w:r>
          </w:p>
        </w:tc>
      </w:tr>
      <w:tr w:rsidR="00592EE8">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489" w:type="dxa"/>
            <w:vMerge/>
            <w:tcBorders>
              <w:top w:val="single" w:sz="8" w:space="0" w:color="auto"/>
              <w:left w:val="nil"/>
              <w:bottom w:val="single" w:sz="8" w:space="0" w:color="auto"/>
              <w:right w:val="single" w:sz="8" w:space="0" w:color="auto"/>
            </w:tcBorders>
            <w:tcMar>
              <w:left w:w="108" w:type="dxa"/>
              <w:right w:w="108" w:type="dxa"/>
            </w:tcMar>
            <w:vAlign w:val="center"/>
          </w:tcPr>
          <w:p w:rsidR="00592EE8" w:rsidRDefault="00592EE8">
            <w:pPr>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尚未审结</w:t>
            </w:r>
          </w:p>
        </w:tc>
        <w:tc>
          <w:tcPr>
            <w:tcW w:w="528"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sz w:val="20"/>
                <w:szCs w:val="20"/>
              </w:rPr>
              <w:t>尚未审结</w:t>
            </w:r>
          </w:p>
        </w:tc>
        <w:tc>
          <w:tcPr>
            <w:tcW w:w="517" w:type="dxa"/>
            <w:tcBorders>
              <w:top w:val="single" w:sz="8" w:space="0" w:color="auto"/>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宋体" w:cs="Times New Roman"/>
                <w:color w:val="000000"/>
                <w:sz w:val="20"/>
                <w:szCs w:val="20"/>
              </w:rPr>
              <w:t>总计</w:t>
            </w:r>
          </w:p>
        </w:tc>
      </w:tr>
      <w:tr w:rsidR="00592EE8">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489"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550"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528"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color w:val="00000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hAnsi="Times New Roman" w:cs="Times New Roman"/>
              </w:rPr>
            </w:pPr>
            <w:r>
              <w:rPr>
                <w:rFonts w:ascii="Times New Roman" w:eastAsia="宋体" w:hAnsi="Times New Roman" w:cs="Times New Roman"/>
                <w:color w:val="000000"/>
                <w:sz w:val="20"/>
                <w:szCs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592EE8" w:rsidRDefault="00A16709">
            <w:pPr>
              <w:spacing w:after="180"/>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0</w:t>
            </w:r>
          </w:p>
        </w:tc>
        <w:tc>
          <w:tcPr>
            <w:tcW w:w="517" w:type="dxa"/>
            <w:tcBorders>
              <w:top w:val="nil"/>
              <w:left w:val="nil"/>
              <w:bottom w:val="single" w:sz="8" w:space="0" w:color="auto"/>
              <w:right w:val="single" w:sz="8" w:space="0" w:color="auto"/>
            </w:tcBorders>
            <w:tcMar>
              <w:left w:w="108" w:type="dxa"/>
              <w:right w:w="108" w:type="dxa"/>
            </w:tcMar>
            <w:vAlign w:val="center"/>
          </w:tcPr>
          <w:p w:rsidR="00592EE8" w:rsidRDefault="00A16709">
            <w:pP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0</w:t>
            </w:r>
          </w:p>
        </w:tc>
      </w:tr>
    </w:tbl>
    <w:p w:rsidR="00592EE8" w:rsidRDefault="00592EE8">
      <w:pPr>
        <w:spacing w:after="0" w:line="432" w:lineRule="atLeast"/>
        <w:jc w:val="center"/>
        <w:rPr>
          <w:rFonts w:ascii="Times New Roman" w:eastAsia="宋体" w:hAnsi="Times New Roman" w:cs="Times New Roman"/>
          <w:color w:val="333333"/>
          <w:sz w:val="24"/>
          <w:szCs w:val="24"/>
        </w:rPr>
      </w:pPr>
    </w:p>
    <w:p w:rsidR="00592EE8" w:rsidRDefault="00A16709">
      <w:pPr>
        <w:pStyle w:val="a3"/>
        <w:widowControl/>
        <w:spacing w:before="0" w:beforeAutospacing="0" w:after="0" w:afterAutospacing="0" w:line="432" w:lineRule="atLeast"/>
        <w:ind w:firstLineChars="200" w:firstLine="643"/>
        <w:jc w:val="both"/>
        <w:rPr>
          <w:rFonts w:ascii="黑体" w:eastAsia="黑体" w:hAnsi="黑体" w:cs="黑体"/>
          <w:b/>
          <w:color w:val="333333"/>
          <w:sz w:val="32"/>
          <w:szCs w:val="32"/>
        </w:rPr>
      </w:pPr>
      <w:r>
        <w:rPr>
          <w:rFonts w:ascii="黑体" w:eastAsia="黑体" w:hAnsi="黑体" w:cs="黑体" w:hint="eastAsia"/>
          <w:b/>
          <w:color w:val="333333"/>
          <w:sz w:val="32"/>
          <w:szCs w:val="32"/>
        </w:rPr>
        <w:t>五、存在的主要问题及改进情况</w:t>
      </w:r>
    </w:p>
    <w:p w:rsidR="00592EE8" w:rsidRDefault="00A16709">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2020年，我局政府信息公开工作整体运行良好，基础工作比较扎实，但对照《中华人民共和国政府信息公开条例》与县政府要求还有很大的提升空间，主要表现在：信息公开的广度还不够，政策解读的形式还</w:t>
      </w:r>
      <w:proofErr w:type="gramStart"/>
      <w:r>
        <w:rPr>
          <w:rFonts w:ascii="仿宋_GB2312" w:eastAsia="仿宋_GB2312" w:hAnsi="仿宋_GB2312" w:cs="仿宋_GB2312" w:hint="eastAsia"/>
          <w:sz w:val="32"/>
          <w:szCs w:val="32"/>
        </w:rPr>
        <w:t>很</w:t>
      </w:r>
      <w:proofErr w:type="gramEnd"/>
      <w:r>
        <w:rPr>
          <w:rFonts w:ascii="仿宋_GB2312" w:eastAsia="仿宋_GB2312" w:hAnsi="仿宋_GB2312" w:cs="仿宋_GB2312" w:hint="eastAsia"/>
          <w:sz w:val="32"/>
          <w:szCs w:val="32"/>
        </w:rPr>
        <w:t>单一，在下一步工作中，我局将从以下几个方面予以加强：</w:t>
      </w:r>
    </w:p>
    <w:p w:rsidR="00592EE8" w:rsidRDefault="00A16709">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（一）强化全局各单位做好政府信息公开工作的制度机制。以《政务公开标准化规范化目录》为样板，明确各单位政府信息公开工作职责任务，落实岗位人员，确定必</w:t>
      </w:r>
      <w:r>
        <w:rPr>
          <w:rFonts w:ascii="仿宋_GB2312" w:eastAsia="仿宋_GB2312" w:hAnsi="仿宋_GB2312" w:cs="仿宋_GB2312" w:hint="eastAsia"/>
          <w:sz w:val="32"/>
          <w:szCs w:val="32"/>
        </w:rPr>
        <w:lastRenderedPageBreak/>
        <w:t>备内容，挖掘重点信息，建立跟踪机制，加强考核督查，确保各单位信息发布全面充分、及时准确。</w:t>
      </w:r>
    </w:p>
    <w:p w:rsidR="00592EE8" w:rsidRDefault="00A16709">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（二）学习借鉴先进经验。积极主动与县政府有关部门和上级单位对接政府信息公开工作，尤其是要掌握最新的省市工作要求，</w:t>
      </w:r>
      <w:proofErr w:type="gramStart"/>
      <w:r>
        <w:rPr>
          <w:rFonts w:ascii="仿宋_GB2312" w:eastAsia="仿宋_GB2312" w:hAnsi="仿宋_GB2312" w:cs="仿宋_GB2312" w:hint="eastAsia"/>
          <w:sz w:val="32"/>
          <w:szCs w:val="32"/>
        </w:rPr>
        <w:t>确保第</w:t>
      </w:r>
      <w:proofErr w:type="gramEnd"/>
      <w:r>
        <w:rPr>
          <w:rFonts w:ascii="仿宋_GB2312" w:eastAsia="仿宋_GB2312" w:hAnsi="仿宋_GB2312" w:cs="仿宋_GB2312" w:hint="eastAsia"/>
          <w:sz w:val="32"/>
          <w:szCs w:val="32"/>
        </w:rPr>
        <w:t>一时间规范调整到位，防止工作疏漏。同时，学习其他地区、其他部门政府信息公开工作的先 进经验。</w:t>
      </w:r>
    </w:p>
    <w:p w:rsidR="00592EE8" w:rsidRDefault="00A16709">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（三）进一步加大主动公开力度。继续维护政府网站这个窗口，在确保“应公开尽公开”的同时，不断扩大公开途径和形式，充分利用</w:t>
      </w:r>
      <w:proofErr w:type="gramStart"/>
      <w:r>
        <w:rPr>
          <w:rFonts w:ascii="仿宋_GB2312" w:eastAsia="仿宋_GB2312" w:hAnsi="仿宋_GB2312" w:cs="仿宋_GB2312" w:hint="eastAsia"/>
          <w:sz w:val="32"/>
          <w:szCs w:val="32"/>
        </w:rPr>
        <w:t>政务双微</w:t>
      </w:r>
      <w:proofErr w:type="gramEnd"/>
      <w:r>
        <w:rPr>
          <w:rFonts w:ascii="仿宋_GB2312" w:eastAsia="仿宋_GB2312" w:hAnsi="仿宋_GB2312" w:cs="仿宋_GB2312" w:hint="eastAsia"/>
          <w:sz w:val="32"/>
          <w:szCs w:val="32"/>
        </w:rPr>
        <w:t>、新闻论坛等政务新媒体矩阵，加强政策解读、舆情回应，使政府信息公开工作规范标准、准确及时，内容丰富，形式多样。</w:t>
      </w:r>
    </w:p>
    <w:p w:rsidR="00592EE8" w:rsidRDefault="00A16709">
      <w:pPr>
        <w:pStyle w:val="a3"/>
        <w:widowControl/>
        <w:spacing w:before="0" w:beforeAutospacing="0" w:after="0" w:afterAutospacing="0" w:line="432" w:lineRule="atLeast"/>
        <w:ind w:firstLineChars="200" w:firstLine="643"/>
        <w:jc w:val="both"/>
        <w:rPr>
          <w:rFonts w:ascii="黑体" w:eastAsia="黑体" w:hAnsi="黑体" w:cs="黑体"/>
          <w:b/>
          <w:color w:val="333333"/>
          <w:sz w:val="32"/>
          <w:szCs w:val="32"/>
        </w:rPr>
      </w:pPr>
      <w:r>
        <w:rPr>
          <w:rFonts w:ascii="黑体" w:eastAsia="黑体" w:hAnsi="黑体" w:cs="黑体" w:hint="eastAsia"/>
          <w:b/>
          <w:color w:val="333333"/>
          <w:sz w:val="32"/>
          <w:szCs w:val="32"/>
        </w:rPr>
        <w:t>六、其他需要报告的事项</w:t>
      </w:r>
    </w:p>
    <w:p w:rsidR="00592EE8" w:rsidRDefault="00A16709">
      <w:pPr>
        <w:pStyle w:val="a3"/>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592EE8" w:rsidRDefault="00592EE8">
      <w:pPr>
        <w:pStyle w:val="a3"/>
        <w:widowControl/>
        <w:spacing w:before="0" w:beforeAutospacing="0" w:after="0" w:afterAutospacing="0" w:line="520" w:lineRule="exact"/>
        <w:ind w:firstLineChars="200" w:firstLine="640"/>
        <w:jc w:val="right"/>
        <w:rPr>
          <w:rFonts w:ascii="仿宋_GB2312" w:eastAsia="仿宋_GB2312" w:hAnsi="仿宋_GB2312" w:cs="仿宋_GB2312"/>
          <w:sz w:val="32"/>
          <w:szCs w:val="32"/>
        </w:rPr>
      </w:pPr>
    </w:p>
    <w:p w:rsidR="00592EE8" w:rsidRDefault="00592EE8">
      <w:pPr>
        <w:pStyle w:val="a3"/>
        <w:widowControl/>
        <w:spacing w:before="0" w:beforeAutospacing="0" w:after="0" w:afterAutospacing="0" w:line="520" w:lineRule="exact"/>
        <w:ind w:firstLineChars="200" w:firstLine="640"/>
        <w:jc w:val="right"/>
        <w:rPr>
          <w:rFonts w:ascii="仿宋_GB2312" w:eastAsia="仿宋_GB2312" w:hAnsi="仿宋_GB2312" w:cs="仿宋_GB2312"/>
          <w:sz w:val="32"/>
          <w:szCs w:val="32"/>
        </w:rPr>
      </w:pPr>
    </w:p>
    <w:p w:rsidR="00592EE8" w:rsidRDefault="00592EE8">
      <w:pPr>
        <w:pStyle w:val="a3"/>
        <w:widowControl/>
        <w:spacing w:before="0" w:beforeAutospacing="0" w:after="0" w:afterAutospacing="0" w:line="520" w:lineRule="exact"/>
        <w:ind w:firstLineChars="200" w:firstLine="640"/>
        <w:jc w:val="right"/>
        <w:rPr>
          <w:rFonts w:ascii="仿宋_GB2312" w:eastAsia="仿宋_GB2312" w:hAnsi="仿宋_GB2312" w:cs="仿宋_GB2312"/>
          <w:sz w:val="32"/>
          <w:szCs w:val="32"/>
        </w:rPr>
      </w:pPr>
    </w:p>
    <w:p w:rsidR="00592EE8" w:rsidRDefault="00592EE8">
      <w:pPr>
        <w:pStyle w:val="a3"/>
        <w:widowControl/>
        <w:spacing w:before="0" w:beforeAutospacing="0" w:after="0" w:afterAutospacing="0" w:line="520" w:lineRule="exact"/>
        <w:ind w:firstLineChars="200" w:firstLine="640"/>
        <w:jc w:val="right"/>
        <w:rPr>
          <w:rFonts w:ascii="仿宋_GB2312" w:eastAsia="仿宋_GB2312" w:hAnsi="仿宋_GB2312" w:cs="仿宋_GB2312"/>
          <w:sz w:val="32"/>
          <w:szCs w:val="32"/>
        </w:rPr>
      </w:pPr>
    </w:p>
    <w:p w:rsidR="00592EE8" w:rsidRDefault="00592EE8">
      <w:pPr>
        <w:pStyle w:val="a3"/>
        <w:widowControl/>
        <w:spacing w:before="0" w:beforeAutospacing="0" w:after="0" w:afterAutospacing="0" w:line="520" w:lineRule="exact"/>
        <w:ind w:firstLineChars="200" w:firstLine="640"/>
        <w:jc w:val="right"/>
        <w:rPr>
          <w:rFonts w:ascii="仿宋_GB2312" w:eastAsia="仿宋_GB2312" w:hAnsi="仿宋_GB2312" w:cs="仿宋_GB2312"/>
          <w:sz w:val="32"/>
          <w:szCs w:val="32"/>
        </w:rPr>
      </w:pPr>
    </w:p>
    <w:p w:rsidR="00592EE8" w:rsidRDefault="00592EE8">
      <w:pPr>
        <w:pStyle w:val="a3"/>
        <w:widowControl/>
        <w:spacing w:before="0" w:beforeAutospacing="0" w:after="0" w:afterAutospacing="0" w:line="520" w:lineRule="exact"/>
        <w:ind w:firstLineChars="200" w:firstLine="640"/>
        <w:jc w:val="right"/>
        <w:rPr>
          <w:rFonts w:ascii="仿宋_GB2312" w:eastAsia="仿宋_GB2312" w:hAnsi="仿宋_GB2312" w:cs="仿宋_GB2312"/>
          <w:sz w:val="32"/>
          <w:szCs w:val="32"/>
        </w:rPr>
      </w:pPr>
    </w:p>
    <w:p w:rsidR="00592EE8" w:rsidRDefault="00A16709">
      <w:pPr>
        <w:pStyle w:val="a3"/>
        <w:widowControl/>
        <w:spacing w:before="0" w:beforeAutospacing="0" w:after="0" w:afterAutospacing="0" w:line="52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宁海县市场监督管理局</w:t>
      </w:r>
    </w:p>
    <w:p w:rsidR="00592EE8" w:rsidRDefault="00A16709">
      <w:pPr>
        <w:pStyle w:val="a3"/>
        <w:widowControl/>
        <w:spacing w:before="0" w:beforeAutospacing="0" w:after="0" w:afterAutospacing="0" w:line="52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2021年1月18日</w:t>
      </w:r>
    </w:p>
    <w:sectPr w:rsidR="00592EE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创艺简标宋">
    <w:panose1 w:val="00000000000000000000"/>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3FDB"/>
    <w:rsid w:val="000708B2"/>
    <w:rsid w:val="00072F37"/>
    <w:rsid w:val="000C0C2A"/>
    <w:rsid w:val="000C531F"/>
    <w:rsid w:val="000E6E6E"/>
    <w:rsid w:val="00104789"/>
    <w:rsid w:val="00112694"/>
    <w:rsid w:val="001539BB"/>
    <w:rsid w:val="00193A4E"/>
    <w:rsid w:val="002655F7"/>
    <w:rsid w:val="002858F7"/>
    <w:rsid w:val="002F3368"/>
    <w:rsid w:val="00315C5E"/>
    <w:rsid w:val="00323B43"/>
    <w:rsid w:val="003471BB"/>
    <w:rsid w:val="00370609"/>
    <w:rsid w:val="003D37D8"/>
    <w:rsid w:val="00410AE3"/>
    <w:rsid w:val="004248B9"/>
    <w:rsid w:val="00426133"/>
    <w:rsid w:val="004339C6"/>
    <w:rsid w:val="004358AB"/>
    <w:rsid w:val="00443BCC"/>
    <w:rsid w:val="00465FB6"/>
    <w:rsid w:val="004819C2"/>
    <w:rsid w:val="004A22EA"/>
    <w:rsid w:val="004B027A"/>
    <w:rsid w:val="004E61A6"/>
    <w:rsid w:val="004F69A7"/>
    <w:rsid w:val="00546153"/>
    <w:rsid w:val="0056177F"/>
    <w:rsid w:val="00592EE8"/>
    <w:rsid w:val="005B0B65"/>
    <w:rsid w:val="005D5319"/>
    <w:rsid w:val="005E69B3"/>
    <w:rsid w:val="005F086E"/>
    <w:rsid w:val="005F7449"/>
    <w:rsid w:val="006026DA"/>
    <w:rsid w:val="0062400E"/>
    <w:rsid w:val="0064634D"/>
    <w:rsid w:val="00652AE5"/>
    <w:rsid w:val="006651B9"/>
    <w:rsid w:val="00683016"/>
    <w:rsid w:val="00714106"/>
    <w:rsid w:val="00753780"/>
    <w:rsid w:val="00755513"/>
    <w:rsid w:val="00755C4E"/>
    <w:rsid w:val="00760008"/>
    <w:rsid w:val="00763CD4"/>
    <w:rsid w:val="007668EB"/>
    <w:rsid w:val="007C6DC3"/>
    <w:rsid w:val="007D6740"/>
    <w:rsid w:val="00833488"/>
    <w:rsid w:val="0083389D"/>
    <w:rsid w:val="00843F39"/>
    <w:rsid w:val="008A55F9"/>
    <w:rsid w:val="008B08DF"/>
    <w:rsid w:val="008B7726"/>
    <w:rsid w:val="008C0EFF"/>
    <w:rsid w:val="008D35F4"/>
    <w:rsid w:val="008D6920"/>
    <w:rsid w:val="009403B3"/>
    <w:rsid w:val="0094060D"/>
    <w:rsid w:val="009B10AE"/>
    <w:rsid w:val="009B1571"/>
    <w:rsid w:val="009D6CE3"/>
    <w:rsid w:val="009E0311"/>
    <w:rsid w:val="009E55C2"/>
    <w:rsid w:val="00A16709"/>
    <w:rsid w:val="00A20293"/>
    <w:rsid w:val="00A4348A"/>
    <w:rsid w:val="00AF2FD4"/>
    <w:rsid w:val="00B166D6"/>
    <w:rsid w:val="00B24CBE"/>
    <w:rsid w:val="00B421EC"/>
    <w:rsid w:val="00B617BE"/>
    <w:rsid w:val="00B70AA3"/>
    <w:rsid w:val="00BA29E1"/>
    <w:rsid w:val="00C203AC"/>
    <w:rsid w:val="00C87BD2"/>
    <w:rsid w:val="00C93018"/>
    <w:rsid w:val="00CA68F3"/>
    <w:rsid w:val="00CC2F90"/>
    <w:rsid w:val="00D0065A"/>
    <w:rsid w:val="00D241C3"/>
    <w:rsid w:val="00D31D50"/>
    <w:rsid w:val="00D5660A"/>
    <w:rsid w:val="00D70537"/>
    <w:rsid w:val="00DA59AF"/>
    <w:rsid w:val="00DB0B47"/>
    <w:rsid w:val="00DE5387"/>
    <w:rsid w:val="00DF1D82"/>
    <w:rsid w:val="00E04D58"/>
    <w:rsid w:val="00E07017"/>
    <w:rsid w:val="00E109FA"/>
    <w:rsid w:val="00E61B25"/>
    <w:rsid w:val="00E7164D"/>
    <w:rsid w:val="00E761B0"/>
    <w:rsid w:val="00E843AB"/>
    <w:rsid w:val="00EF03BA"/>
    <w:rsid w:val="00EF19FE"/>
    <w:rsid w:val="00F228ED"/>
    <w:rsid w:val="00F50069"/>
    <w:rsid w:val="00F92680"/>
    <w:rsid w:val="00FA430C"/>
    <w:rsid w:val="00FD6F39"/>
    <w:rsid w:val="00FF0B80"/>
    <w:rsid w:val="011C4F32"/>
    <w:rsid w:val="05C0787D"/>
    <w:rsid w:val="07B141BB"/>
    <w:rsid w:val="0923561A"/>
    <w:rsid w:val="09882C48"/>
    <w:rsid w:val="0ABC7156"/>
    <w:rsid w:val="0C126151"/>
    <w:rsid w:val="0C494921"/>
    <w:rsid w:val="0DDE2700"/>
    <w:rsid w:val="12ED6E07"/>
    <w:rsid w:val="13190C52"/>
    <w:rsid w:val="13573D5D"/>
    <w:rsid w:val="159D5F24"/>
    <w:rsid w:val="15A07208"/>
    <w:rsid w:val="1BE4098D"/>
    <w:rsid w:val="1CE73643"/>
    <w:rsid w:val="1F0D7E4E"/>
    <w:rsid w:val="211017C3"/>
    <w:rsid w:val="234E6F53"/>
    <w:rsid w:val="244C5F61"/>
    <w:rsid w:val="2CA02CFF"/>
    <w:rsid w:val="2D4C5508"/>
    <w:rsid w:val="2DC61EE1"/>
    <w:rsid w:val="2DDA6274"/>
    <w:rsid w:val="2EEB384B"/>
    <w:rsid w:val="2F505173"/>
    <w:rsid w:val="2FE944C1"/>
    <w:rsid w:val="318E1A57"/>
    <w:rsid w:val="32A65B12"/>
    <w:rsid w:val="338A5416"/>
    <w:rsid w:val="35DA33DB"/>
    <w:rsid w:val="388D5C72"/>
    <w:rsid w:val="38C07D89"/>
    <w:rsid w:val="3A3C4B91"/>
    <w:rsid w:val="3B033783"/>
    <w:rsid w:val="3B23327B"/>
    <w:rsid w:val="3BD77EF6"/>
    <w:rsid w:val="3D0E5271"/>
    <w:rsid w:val="3F91612E"/>
    <w:rsid w:val="423F03E9"/>
    <w:rsid w:val="426E218C"/>
    <w:rsid w:val="42C1306B"/>
    <w:rsid w:val="496D53D0"/>
    <w:rsid w:val="506F1355"/>
    <w:rsid w:val="55DA45CA"/>
    <w:rsid w:val="567A5983"/>
    <w:rsid w:val="5A270D41"/>
    <w:rsid w:val="5A616974"/>
    <w:rsid w:val="5CAE6ECE"/>
    <w:rsid w:val="5CEE29B8"/>
    <w:rsid w:val="5F6560BB"/>
    <w:rsid w:val="60B57D5F"/>
    <w:rsid w:val="618F3711"/>
    <w:rsid w:val="62ED7F5B"/>
    <w:rsid w:val="635D274E"/>
    <w:rsid w:val="6638683B"/>
    <w:rsid w:val="67587E1F"/>
    <w:rsid w:val="6F0B3F2B"/>
    <w:rsid w:val="6FBD111A"/>
    <w:rsid w:val="701B373C"/>
    <w:rsid w:val="71DC2E54"/>
    <w:rsid w:val="741D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312C"/>
  <w15:docId w15:val="{A4DAE070-83EE-482C-8237-44EEED8F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val="0"/>
      <w:adjustRightInd/>
      <w:snapToGrid/>
      <w:spacing w:before="100" w:beforeAutospacing="1" w:after="100" w:afterAutospacing="1"/>
    </w:pPr>
    <w:rPr>
      <w:rFonts w:ascii="Calibri" w:eastAsia="宋体" w:hAnsi="Calibri" w:cs="Times New Roman"/>
      <w:sz w:val="24"/>
      <w:szCs w:val="24"/>
    </w:rPr>
  </w:style>
  <w:style w:type="character" w:styleId="a4">
    <w:name w:val="Hyperlink"/>
    <w:basedOn w:val="a0"/>
    <w:uiPriority w:val="99"/>
    <w:unhideWhenUsed/>
    <w:qForma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nhmsa</dc:creator>
  <cp:lastModifiedBy>lx</cp:lastModifiedBy>
  <cp:revision>89</cp:revision>
  <dcterms:created xsi:type="dcterms:W3CDTF">2008-09-11T17:20:00Z</dcterms:created>
  <dcterms:modified xsi:type="dcterms:W3CDTF">2021-04-01T02:39:00Z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