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宁海县人力资源和社会保障局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44"/>
          <w:szCs w:val="44"/>
        </w:rPr>
      </w:pPr>
      <w:r>
        <w:rPr>
          <w:rFonts w:hint="eastAsia" w:ascii="方正小标宋简体" w:hAnsi="方正小标宋简体" w:eastAsia="方正小标宋简体" w:cs="方正小标宋简体"/>
          <w:sz w:val="44"/>
          <w:szCs w:val="44"/>
          <w:lang w:val="en-US" w:eastAsia="zh-CN"/>
        </w:rPr>
        <w:t>2020年政府信息公开工作年度报告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w:t>
      </w:r>
      <w:r>
        <w:rPr>
          <w:rFonts w:hint="eastAsia" w:ascii="仿宋" w:hAnsi="仿宋" w:eastAsia="仿宋" w:cs="仿宋"/>
          <w:sz w:val="32"/>
          <w:szCs w:val="32"/>
          <w:lang w:val="en-US" w:eastAsia="zh-CN"/>
        </w:rPr>
        <w:t>县人力社保局</w:t>
      </w:r>
      <w:r>
        <w:rPr>
          <w:rFonts w:hint="eastAsia" w:ascii="仿宋" w:hAnsi="仿宋" w:eastAsia="仿宋" w:cs="仿宋"/>
          <w:sz w:val="32"/>
          <w:szCs w:val="32"/>
        </w:rPr>
        <w:t>认真贯彻落实省、市、</w:t>
      </w:r>
      <w:r>
        <w:rPr>
          <w:rFonts w:hint="eastAsia" w:ascii="仿宋" w:hAnsi="仿宋" w:eastAsia="仿宋" w:cs="仿宋"/>
          <w:sz w:val="32"/>
          <w:szCs w:val="32"/>
          <w:lang w:val="en-US" w:eastAsia="zh-CN"/>
        </w:rPr>
        <w:t>县</w:t>
      </w:r>
      <w:r>
        <w:rPr>
          <w:rFonts w:hint="eastAsia" w:ascii="仿宋" w:hAnsi="仿宋" w:eastAsia="仿宋" w:cs="仿宋"/>
          <w:sz w:val="32"/>
          <w:szCs w:val="32"/>
        </w:rPr>
        <w:t>有关信息公开工作文件精神，根据《中华人民共和国政府信息公开条例》的规定和要求，紧密结合</w:t>
      </w:r>
      <w:r>
        <w:rPr>
          <w:rFonts w:hint="eastAsia" w:ascii="仿宋" w:hAnsi="仿宋" w:eastAsia="仿宋" w:cs="仿宋"/>
          <w:sz w:val="32"/>
          <w:szCs w:val="32"/>
          <w:lang w:val="en-US" w:eastAsia="zh-CN"/>
        </w:rPr>
        <w:t>社会需求形势及</w:t>
      </w:r>
      <w:r>
        <w:rPr>
          <w:rFonts w:hint="eastAsia" w:ascii="仿宋" w:hAnsi="仿宋" w:eastAsia="仿宋" w:cs="仿宋"/>
          <w:sz w:val="32"/>
          <w:szCs w:val="32"/>
        </w:rPr>
        <w:t>部门工作实际，进一步完善公开机制、拓宽公开渠道、深化公开内容，认真推进落实政府信息公开工作</w:t>
      </w:r>
      <w:r>
        <w:rPr>
          <w:rFonts w:hint="eastAsia" w:ascii="仿宋" w:hAnsi="仿宋" w:eastAsia="仿宋" w:cs="仿宋"/>
          <w:sz w:val="32"/>
          <w:szCs w:val="32"/>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加强组织领导，规范公开程序。</w:t>
      </w:r>
      <w:r>
        <w:rPr>
          <w:rFonts w:hint="eastAsia" w:ascii="仿宋" w:hAnsi="仿宋" w:eastAsia="仿宋" w:cs="仿宋"/>
          <w:sz w:val="32"/>
          <w:szCs w:val="32"/>
          <w:lang w:eastAsia="zh-CN"/>
        </w:rPr>
        <w:t>为保障政府信息公开工作真正落到实处，使政务公开管理工作规范化，</w:t>
      </w:r>
      <w:r>
        <w:rPr>
          <w:rFonts w:hint="eastAsia" w:ascii="仿宋" w:hAnsi="仿宋" w:eastAsia="仿宋" w:cs="仿宋"/>
          <w:sz w:val="32"/>
          <w:szCs w:val="32"/>
          <w:lang w:val="en-US" w:eastAsia="zh-CN"/>
        </w:rPr>
        <w:t>在原先局党委书记、局长为组长的局政务公开领导小组基础上，</w:t>
      </w:r>
      <w:r>
        <w:rPr>
          <w:rFonts w:hint="eastAsia" w:ascii="仿宋" w:hAnsi="仿宋" w:eastAsia="仿宋" w:cs="仿宋"/>
          <w:sz w:val="32"/>
          <w:szCs w:val="32"/>
          <w:lang w:eastAsia="zh-CN"/>
        </w:rPr>
        <w:t>根据</w:t>
      </w:r>
      <w:r>
        <w:rPr>
          <w:rFonts w:hint="eastAsia" w:ascii="仿宋" w:hAnsi="仿宋" w:eastAsia="仿宋" w:cs="仿宋"/>
          <w:sz w:val="32"/>
          <w:szCs w:val="32"/>
          <w:lang w:val="en-US" w:eastAsia="zh-CN"/>
        </w:rPr>
        <w:t>科室相关</w:t>
      </w:r>
      <w:r>
        <w:rPr>
          <w:rFonts w:hint="eastAsia" w:ascii="仿宋" w:hAnsi="仿宋" w:eastAsia="仿宋" w:cs="仿宋"/>
          <w:sz w:val="32"/>
          <w:szCs w:val="32"/>
          <w:lang w:eastAsia="zh-CN"/>
        </w:rPr>
        <w:t>人员变动，及时完善</w:t>
      </w:r>
      <w:r>
        <w:rPr>
          <w:rFonts w:hint="eastAsia" w:ascii="仿宋" w:hAnsi="仿宋" w:eastAsia="仿宋" w:cs="仿宋"/>
          <w:sz w:val="32"/>
          <w:szCs w:val="32"/>
          <w:lang w:val="en-US" w:eastAsia="zh-CN"/>
        </w:rPr>
        <w:t>更新</w:t>
      </w:r>
      <w:r>
        <w:rPr>
          <w:rFonts w:hint="eastAsia" w:ascii="仿宋" w:hAnsi="仿宋" w:eastAsia="仿宋" w:cs="仿宋"/>
          <w:sz w:val="32"/>
          <w:szCs w:val="32"/>
          <w:lang w:eastAsia="zh-CN"/>
        </w:rPr>
        <w:t>领导小组，</w:t>
      </w:r>
      <w:r>
        <w:rPr>
          <w:rFonts w:hint="eastAsia" w:ascii="仿宋" w:hAnsi="仿宋" w:eastAsia="仿宋" w:cs="仿宋"/>
          <w:sz w:val="32"/>
          <w:szCs w:val="32"/>
          <w:lang w:val="en-US" w:eastAsia="zh-CN"/>
        </w:rPr>
        <w:t>并对</w:t>
      </w:r>
      <w:r>
        <w:rPr>
          <w:rFonts w:hint="eastAsia" w:ascii="仿宋" w:hAnsi="仿宋" w:eastAsia="仿宋" w:cs="仿宋"/>
          <w:sz w:val="32"/>
          <w:szCs w:val="32"/>
          <w:lang w:eastAsia="zh-CN"/>
        </w:rPr>
        <w:t>经办人员</w:t>
      </w:r>
      <w:r>
        <w:rPr>
          <w:rFonts w:hint="eastAsia" w:ascii="仿宋" w:hAnsi="仿宋" w:eastAsia="仿宋" w:cs="仿宋"/>
          <w:sz w:val="32"/>
          <w:szCs w:val="32"/>
          <w:lang w:val="en-US" w:eastAsia="zh-CN"/>
        </w:rPr>
        <w:t>进行系列培训</w:t>
      </w:r>
      <w:r>
        <w:rPr>
          <w:rFonts w:hint="eastAsia" w:ascii="仿宋" w:hAnsi="仿宋" w:eastAsia="仿宋" w:cs="仿宋"/>
          <w:sz w:val="32"/>
          <w:szCs w:val="32"/>
          <w:lang w:eastAsia="zh-CN"/>
        </w:rPr>
        <w:t>，以保障政务公开工作的</w:t>
      </w:r>
      <w:r>
        <w:rPr>
          <w:rFonts w:hint="eastAsia" w:ascii="仿宋" w:hAnsi="仿宋" w:eastAsia="仿宋" w:cs="仿宋"/>
          <w:sz w:val="32"/>
          <w:szCs w:val="32"/>
          <w:lang w:val="en-US" w:eastAsia="zh-CN"/>
        </w:rPr>
        <w:t>规范性和</w:t>
      </w:r>
      <w:r>
        <w:rPr>
          <w:rFonts w:hint="eastAsia" w:ascii="仿宋" w:hAnsi="仿宋" w:eastAsia="仿宋" w:cs="仿宋"/>
          <w:sz w:val="32"/>
          <w:szCs w:val="32"/>
          <w:lang w:eastAsia="zh-CN"/>
        </w:rPr>
        <w:t>连续性。</w:t>
      </w:r>
      <w:r>
        <w:rPr>
          <w:rFonts w:hint="eastAsia" w:ascii="仿宋" w:hAnsi="仿宋" w:eastAsia="仿宋" w:cs="仿宋"/>
          <w:sz w:val="32"/>
          <w:szCs w:val="32"/>
          <w:lang w:val="en-US" w:eastAsia="zh-CN"/>
        </w:rPr>
        <w:t>此外，</w:t>
      </w:r>
      <w:r>
        <w:rPr>
          <w:rFonts w:hint="eastAsia" w:ascii="仿宋" w:hAnsi="仿宋" w:eastAsia="仿宋" w:cs="仿宋"/>
          <w:sz w:val="32"/>
          <w:szCs w:val="32"/>
          <w:lang w:eastAsia="zh-CN"/>
        </w:rPr>
        <w:t>着力推进</w:t>
      </w:r>
      <w:r>
        <w:rPr>
          <w:rFonts w:hint="eastAsia" w:ascii="仿宋" w:hAnsi="仿宋" w:eastAsia="仿宋" w:cs="仿宋"/>
          <w:sz w:val="32"/>
          <w:szCs w:val="32"/>
          <w:lang w:val="en-US" w:eastAsia="zh-CN"/>
        </w:rPr>
        <w:t>人社</w:t>
      </w:r>
      <w:r>
        <w:rPr>
          <w:rFonts w:hint="eastAsia" w:ascii="仿宋" w:hAnsi="仿宋" w:eastAsia="仿宋" w:cs="仿宋"/>
          <w:sz w:val="32"/>
          <w:szCs w:val="32"/>
          <w:lang w:eastAsia="zh-CN"/>
        </w:rPr>
        <w:t>服务窗口建设。开展“无证明人社”建设，以“政务服务+数字化转型”来持续推进减证便民工作。开展“智能办理提升”专项行动，优化大厅自助服务区、网上办理区和人工受理区等三大功能区的软硬件配置，创新推出首批28个人社高频事项“码”上办。</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）规范工作机制，</w:t>
      </w:r>
      <w:r>
        <w:rPr>
          <w:rFonts w:hint="eastAsia" w:ascii="楷体" w:hAnsi="楷体" w:eastAsia="楷体" w:cs="楷体"/>
          <w:sz w:val="32"/>
          <w:szCs w:val="32"/>
          <w:lang w:val="en-US" w:eastAsia="zh-CN"/>
        </w:rPr>
        <w:t>强化业务水平</w:t>
      </w:r>
      <w:r>
        <w:rPr>
          <w:rFonts w:hint="eastAsia" w:ascii="楷体" w:hAnsi="楷体" w:eastAsia="楷体" w:cs="楷体"/>
          <w:sz w:val="32"/>
          <w:szCs w:val="32"/>
          <w:lang w:eastAsia="zh-CN"/>
        </w:rPr>
        <w:t>。</w:t>
      </w:r>
      <w:r>
        <w:rPr>
          <w:rFonts w:hint="eastAsia" w:ascii="仿宋" w:hAnsi="仿宋" w:eastAsia="仿宋" w:cs="仿宋"/>
          <w:sz w:val="32"/>
          <w:szCs w:val="32"/>
          <w:lang w:val="en-US" w:eastAsia="zh-CN"/>
        </w:rPr>
        <w:t>及时通过信息公开网、政府门户网站、微信公众号等途径</w:t>
      </w:r>
      <w:r>
        <w:rPr>
          <w:rFonts w:hint="eastAsia" w:ascii="仿宋" w:hAnsi="仿宋" w:eastAsia="仿宋" w:cs="仿宋"/>
          <w:sz w:val="32"/>
          <w:szCs w:val="32"/>
          <w:lang w:eastAsia="zh-CN"/>
        </w:rPr>
        <w:t>更新政府信息公开目录和指南，不断</w:t>
      </w:r>
      <w:r>
        <w:rPr>
          <w:rFonts w:hint="eastAsia" w:ascii="仿宋" w:hAnsi="仿宋" w:eastAsia="仿宋" w:cs="仿宋"/>
          <w:sz w:val="32"/>
          <w:szCs w:val="32"/>
          <w:lang w:val="en-US" w:eastAsia="zh-CN"/>
        </w:rPr>
        <w:t>完善</w:t>
      </w:r>
      <w:r>
        <w:rPr>
          <w:rFonts w:hint="eastAsia" w:ascii="仿宋" w:hAnsi="仿宋" w:eastAsia="仿宋" w:cs="仿宋"/>
          <w:sz w:val="32"/>
          <w:szCs w:val="32"/>
          <w:lang w:eastAsia="zh-CN"/>
        </w:rPr>
        <w:t>主动公开</w:t>
      </w:r>
      <w:r>
        <w:rPr>
          <w:rFonts w:hint="eastAsia" w:ascii="仿宋" w:hAnsi="仿宋" w:eastAsia="仿宋" w:cs="仿宋"/>
          <w:sz w:val="32"/>
          <w:szCs w:val="32"/>
          <w:lang w:val="en-US" w:eastAsia="zh-CN"/>
        </w:rPr>
        <w:t>广度和深度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同时，在接受全县政务公开和政务服务专题培训后，在全局范围内利用“周二夜学”及时组织开展了</w:t>
      </w:r>
      <w:r>
        <w:rPr>
          <w:rFonts w:hint="eastAsia" w:ascii="仿宋" w:hAnsi="仿宋" w:eastAsia="仿宋" w:cs="仿宋"/>
          <w:sz w:val="32"/>
          <w:szCs w:val="32"/>
          <w:lang w:eastAsia="zh-CN"/>
        </w:rPr>
        <w:t>《条例》学习，</w:t>
      </w:r>
      <w:r>
        <w:rPr>
          <w:rFonts w:hint="eastAsia" w:ascii="仿宋" w:hAnsi="仿宋" w:eastAsia="仿宋" w:cs="仿宋"/>
          <w:sz w:val="32"/>
          <w:szCs w:val="32"/>
          <w:lang w:val="en-US" w:eastAsia="zh-CN"/>
        </w:rPr>
        <w:t>尤其是针对群众较为关注的依申请公开，做到对依申请公开的政府信息分情况及时给予答复，</w:t>
      </w:r>
      <w:r>
        <w:rPr>
          <w:rFonts w:hint="eastAsia" w:ascii="仿宋" w:hAnsi="仿宋" w:eastAsia="仿宋" w:cs="仿宋"/>
          <w:sz w:val="32"/>
          <w:szCs w:val="32"/>
          <w:lang w:eastAsia="zh-CN"/>
        </w:rPr>
        <w:t>确保程序合法、流程合规。同时，以</w:t>
      </w:r>
      <w:r>
        <w:rPr>
          <w:rFonts w:hint="eastAsia" w:ascii="仿宋" w:hAnsi="仿宋" w:eastAsia="仿宋" w:cs="仿宋"/>
          <w:sz w:val="32"/>
          <w:szCs w:val="32"/>
          <w:lang w:val="en-US" w:eastAsia="zh-CN"/>
        </w:rPr>
        <w:t>深化政务服务2.0版本</w:t>
      </w:r>
      <w:r>
        <w:rPr>
          <w:rFonts w:hint="eastAsia" w:ascii="仿宋" w:hAnsi="仿宋" w:eastAsia="仿宋" w:cs="仿宋"/>
          <w:sz w:val="32"/>
          <w:szCs w:val="32"/>
          <w:lang w:eastAsia="zh-CN"/>
        </w:rPr>
        <w:t>为契机，通过“网上办”“</w:t>
      </w:r>
      <w:r>
        <w:rPr>
          <w:rFonts w:hint="eastAsia" w:ascii="仿宋" w:hAnsi="仿宋" w:eastAsia="仿宋" w:cs="仿宋"/>
          <w:sz w:val="32"/>
          <w:szCs w:val="32"/>
          <w:lang w:val="en-US" w:eastAsia="zh-CN"/>
        </w:rPr>
        <w:t>掌上办</w:t>
      </w:r>
      <w:r>
        <w:rPr>
          <w:rFonts w:hint="eastAsia" w:ascii="仿宋" w:hAnsi="仿宋" w:eastAsia="仿宋" w:cs="仿宋"/>
          <w:sz w:val="32"/>
          <w:szCs w:val="32"/>
          <w:lang w:eastAsia="zh-CN"/>
        </w:rPr>
        <w:t>”等形式，不断满足公众对政务公开形式的需求。明确专人负责“百姓事马上办”群众网上意见建议和投诉，本年度处理</w:t>
      </w:r>
      <w:r>
        <w:rPr>
          <w:rFonts w:hint="eastAsia" w:ascii="仿宋" w:hAnsi="仿宋" w:eastAsia="仿宋" w:cs="仿宋"/>
          <w:sz w:val="32"/>
          <w:szCs w:val="32"/>
          <w:lang w:val="en-US" w:eastAsia="zh-CN"/>
        </w:rPr>
        <w:t>200余条，满意率达99%以上</w:t>
      </w:r>
      <w:r>
        <w:rPr>
          <w:rFonts w:hint="eastAsia" w:ascii="仿宋" w:hAnsi="仿宋" w:eastAsia="仿宋" w:cs="仿宋"/>
          <w:sz w:val="32"/>
          <w:szCs w:val="32"/>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楷体" w:hAnsi="楷体" w:eastAsia="楷体" w:cs="楷体"/>
          <w:sz w:val="32"/>
          <w:szCs w:val="32"/>
          <w:lang w:val="en-US" w:eastAsia="zh-CN"/>
        </w:rPr>
        <w:t xml:space="preserve">    （三）结合形势职能</w:t>
      </w:r>
      <w:r>
        <w:rPr>
          <w:rFonts w:hint="eastAsia" w:ascii="楷体" w:hAnsi="楷体" w:eastAsia="楷体" w:cs="楷体"/>
          <w:sz w:val="32"/>
          <w:szCs w:val="32"/>
          <w:lang w:eastAsia="zh-CN"/>
        </w:rPr>
        <w:t>，创新公开形式。</w:t>
      </w:r>
      <w:r>
        <w:rPr>
          <w:rFonts w:hint="eastAsia" w:ascii="仿宋" w:hAnsi="仿宋" w:eastAsia="仿宋" w:cs="仿宋"/>
          <w:sz w:val="32"/>
          <w:szCs w:val="32"/>
          <w:lang w:val="en-US" w:eastAsia="zh-CN"/>
        </w:rPr>
        <w:t>2020年受到新冠疫情的影响，复工复产、招工用工等人社领域工作均面临了尤为特殊的形势，企业、群众对人社部门信息公开也同样有了更迫切的需求。在这期间，我局对</w:t>
      </w:r>
      <w:r>
        <w:rPr>
          <w:rFonts w:hint="eastAsia" w:ascii="仿宋" w:hAnsi="仿宋" w:eastAsia="仿宋" w:cs="仿宋"/>
          <w:sz w:val="32"/>
          <w:szCs w:val="32"/>
          <w:lang w:eastAsia="zh-CN"/>
        </w:rPr>
        <w:t>国务院、人社部、省政府、省人社厅、市政府等发布的与人社工作密切关联且需要社会广泛知晓的政策信息，</w:t>
      </w:r>
      <w:r>
        <w:rPr>
          <w:rFonts w:hint="eastAsia" w:ascii="仿宋" w:hAnsi="仿宋" w:eastAsia="仿宋" w:cs="仿宋"/>
          <w:sz w:val="32"/>
          <w:szCs w:val="32"/>
          <w:lang w:val="en-US" w:eastAsia="zh-CN"/>
        </w:rPr>
        <w:t>第一时间</w:t>
      </w:r>
      <w:r>
        <w:rPr>
          <w:rFonts w:hint="eastAsia" w:ascii="仿宋" w:hAnsi="仿宋" w:eastAsia="仿宋" w:cs="仿宋"/>
          <w:sz w:val="32"/>
          <w:szCs w:val="32"/>
          <w:lang w:eastAsia="zh-CN"/>
        </w:rPr>
        <w:t>进行转载发布。同时，</w:t>
      </w:r>
      <w:r>
        <w:rPr>
          <w:rFonts w:hint="eastAsia" w:ascii="仿宋" w:hAnsi="仿宋" w:eastAsia="仿宋" w:cs="仿宋"/>
          <w:sz w:val="32"/>
          <w:szCs w:val="32"/>
          <w:lang w:val="en-US" w:eastAsia="zh-CN"/>
        </w:rPr>
        <w:t>依托“宁海政府网”平台设立“宁海最全招工”平台，开展“不见面招聘会”、创新“局长直播带岗”等形式，</w:t>
      </w:r>
      <w:r>
        <w:rPr>
          <w:rFonts w:hint="eastAsia" w:ascii="仿宋" w:hAnsi="仿宋" w:eastAsia="仿宋" w:cs="仿宋"/>
          <w:sz w:val="32"/>
          <w:szCs w:val="32"/>
          <w:lang w:eastAsia="zh-CN"/>
        </w:rPr>
        <w:t>将本县人力资源市场就业用工需求情况</w:t>
      </w:r>
      <w:r>
        <w:rPr>
          <w:rFonts w:hint="eastAsia" w:ascii="仿宋" w:hAnsi="仿宋" w:eastAsia="仿宋" w:cs="仿宋"/>
          <w:sz w:val="32"/>
          <w:szCs w:val="32"/>
          <w:lang w:val="en-US" w:eastAsia="zh-CN"/>
        </w:rPr>
        <w:t>及时发布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帮助企业、求职者双方搭建了互联平台，着力解决企业用工难、用工荒等问题</w:t>
      </w:r>
      <w:r>
        <w:rPr>
          <w:rFonts w:hint="eastAsia" w:ascii="仿宋" w:hAnsi="仿宋" w:eastAsia="仿宋" w:cs="仿宋"/>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4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主动公开政府信息情况</w:t>
      </w:r>
    </w:p>
    <w:tbl>
      <w:tblPr>
        <w:tblStyle w:val="11"/>
        <w:tblW w:w="8931"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605"/>
        <w:gridCol w:w="226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31" w:type="dxa"/>
            <w:gridSpan w:val="4"/>
            <w:vAlign w:val="top"/>
          </w:tcPr>
          <w:p>
            <w:pPr>
              <w:spacing w:line="400" w:lineRule="exact"/>
              <w:jc w:val="center"/>
              <w:rPr>
                <w:rFonts w:hint="eastAsia" w:ascii="黑体" w:hAnsi="黑体" w:eastAsia="黑体" w:cs="黑体"/>
                <w:sz w:val="24"/>
              </w:rPr>
            </w:pPr>
            <w:r>
              <w:rPr>
                <w:rFonts w:hint="eastAsia" w:ascii="黑体" w:hAnsi="黑体" w:eastAsia="黑体" w:cs="黑体"/>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4"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信息内容</w:t>
            </w:r>
          </w:p>
        </w:tc>
        <w:tc>
          <w:tcPr>
            <w:tcW w:w="2605"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本年新制作数量</w:t>
            </w:r>
          </w:p>
        </w:tc>
        <w:tc>
          <w:tcPr>
            <w:tcW w:w="2268"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本年新公开数量</w:t>
            </w:r>
          </w:p>
        </w:tc>
        <w:tc>
          <w:tcPr>
            <w:tcW w:w="1984"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规章</w:t>
            </w:r>
          </w:p>
        </w:tc>
        <w:tc>
          <w:tcPr>
            <w:tcW w:w="2605"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2268"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98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规范性文件</w:t>
            </w:r>
          </w:p>
        </w:tc>
        <w:tc>
          <w:tcPr>
            <w:tcW w:w="2605"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c>
          <w:tcPr>
            <w:tcW w:w="2268"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c>
          <w:tcPr>
            <w:tcW w:w="1984" w:type="dxa"/>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31" w:type="dxa"/>
            <w:gridSpan w:val="4"/>
            <w:vAlign w:val="top"/>
          </w:tcPr>
          <w:p>
            <w:pPr>
              <w:spacing w:line="400" w:lineRule="exact"/>
              <w:jc w:val="center"/>
              <w:rPr>
                <w:rFonts w:hint="eastAsia" w:ascii="黑体" w:hAnsi="黑体" w:eastAsia="黑体" w:cs="黑体"/>
                <w:sz w:val="24"/>
              </w:rPr>
            </w:pPr>
            <w:r>
              <w:rPr>
                <w:rFonts w:hint="eastAsia" w:ascii="黑体" w:hAnsi="黑体" w:eastAsia="黑体" w:cs="黑体"/>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4"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信息内容</w:t>
            </w:r>
          </w:p>
        </w:tc>
        <w:tc>
          <w:tcPr>
            <w:tcW w:w="2605"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上一年项目数量</w:t>
            </w:r>
          </w:p>
        </w:tc>
        <w:tc>
          <w:tcPr>
            <w:tcW w:w="2268"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本年增/减</w:t>
            </w:r>
          </w:p>
        </w:tc>
        <w:tc>
          <w:tcPr>
            <w:tcW w:w="1984"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行政许可</w:t>
            </w:r>
          </w:p>
        </w:tc>
        <w:tc>
          <w:tcPr>
            <w:tcW w:w="2605" w:type="dxa"/>
            <w:vAlign w:val="center"/>
          </w:tcPr>
          <w:p>
            <w:pPr>
              <w:spacing w:line="400" w:lineRule="exact"/>
              <w:jc w:val="center"/>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12</w:t>
            </w:r>
          </w:p>
        </w:tc>
        <w:tc>
          <w:tcPr>
            <w:tcW w:w="2268" w:type="dxa"/>
            <w:vAlign w:val="center"/>
          </w:tcPr>
          <w:p>
            <w:pPr>
              <w:spacing w:line="400" w:lineRule="exact"/>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0</w:t>
            </w:r>
          </w:p>
        </w:tc>
        <w:tc>
          <w:tcPr>
            <w:tcW w:w="1984" w:type="dxa"/>
            <w:vAlign w:val="center"/>
          </w:tcPr>
          <w:p>
            <w:pPr>
              <w:spacing w:line="400" w:lineRule="exact"/>
              <w:jc w:val="center"/>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其他对外管理服务事项</w:t>
            </w:r>
          </w:p>
        </w:tc>
        <w:tc>
          <w:tcPr>
            <w:tcW w:w="2605" w:type="dxa"/>
            <w:vAlign w:val="center"/>
          </w:tcPr>
          <w:p>
            <w:pPr>
              <w:spacing w:line="400" w:lineRule="exact"/>
              <w:jc w:val="center"/>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120</w:t>
            </w:r>
          </w:p>
        </w:tc>
        <w:tc>
          <w:tcPr>
            <w:tcW w:w="2268" w:type="dxa"/>
            <w:vAlign w:val="center"/>
          </w:tcPr>
          <w:p>
            <w:pPr>
              <w:spacing w:line="400" w:lineRule="exact"/>
              <w:jc w:val="center"/>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16</w:t>
            </w:r>
          </w:p>
        </w:tc>
        <w:tc>
          <w:tcPr>
            <w:tcW w:w="1984" w:type="dxa"/>
            <w:vAlign w:val="center"/>
          </w:tcPr>
          <w:p>
            <w:pPr>
              <w:spacing w:line="400" w:lineRule="exact"/>
              <w:jc w:val="center"/>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283186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31" w:type="dxa"/>
            <w:gridSpan w:val="4"/>
            <w:vAlign w:val="top"/>
          </w:tcPr>
          <w:p>
            <w:pPr>
              <w:spacing w:line="400" w:lineRule="exact"/>
              <w:jc w:val="center"/>
              <w:rPr>
                <w:rFonts w:hint="eastAsia" w:ascii="黑体" w:hAnsi="黑体" w:eastAsia="黑体" w:cs="黑体"/>
                <w:sz w:val="24"/>
                <w:highlight w:val="none"/>
              </w:rPr>
            </w:pPr>
            <w:r>
              <w:rPr>
                <w:rFonts w:hint="eastAsia" w:ascii="黑体" w:hAnsi="黑体" w:eastAsia="黑体" w:cs="黑体"/>
                <w:sz w:val="24"/>
                <w:highlight w:val="none"/>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4" w:type="dxa"/>
            <w:vAlign w:val="center"/>
          </w:tcPr>
          <w:p>
            <w:pPr>
              <w:spacing w:line="400" w:lineRule="exact"/>
              <w:jc w:val="center"/>
              <w:rPr>
                <w:rFonts w:hint="eastAsia" w:ascii="黑体" w:hAnsi="黑体" w:eastAsia="黑体" w:cs="黑体"/>
                <w:sz w:val="24"/>
                <w:highlight w:val="none"/>
              </w:rPr>
            </w:pPr>
            <w:r>
              <w:rPr>
                <w:rFonts w:hint="eastAsia" w:ascii="黑体" w:hAnsi="黑体" w:eastAsia="黑体" w:cs="黑体"/>
                <w:sz w:val="24"/>
                <w:highlight w:val="none"/>
              </w:rPr>
              <w:t>信息内容</w:t>
            </w:r>
          </w:p>
        </w:tc>
        <w:tc>
          <w:tcPr>
            <w:tcW w:w="2605" w:type="dxa"/>
            <w:vAlign w:val="center"/>
          </w:tcPr>
          <w:p>
            <w:pPr>
              <w:spacing w:line="400" w:lineRule="exact"/>
              <w:jc w:val="center"/>
              <w:rPr>
                <w:rFonts w:hint="eastAsia" w:ascii="黑体" w:hAnsi="黑体" w:eastAsia="黑体" w:cs="黑体"/>
                <w:sz w:val="24"/>
                <w:highlight w:val="none"/>
              </w:rPr>
            </w:pPr>
            <w:r>
              <w:rPr>
                <w:rFonts w:hint="eastAsia" w:ascii="黑体" w:hAnsi="黑体" w:eastAsia="黑体" w:cs="黑体"/>
                <w:sz w:val="24"/>
                <w:highlight w:val="none"/>
              </w:rPr>
              <w:t>上一年项目数量</w:t>
            </w:r>
          </w:p>
        </w:tc>
        <w:tc>
          <w:tcPr>
            <w:tcW w:w="2268" w:type="dxa"/>
            <w:vAlign w:val="center"/>
          </w:tcPr>
          <w:p>
            <w:pPr>
              <w:spacing w:line="400" w:lineRule="exact"/>
              <w:jc w:val="center"/>
              <w:rPr>
                <w:rFonts w:hint="eastAsia" w:ascii="黑体" w:hAnsi="黑体" w:eastAsia="黑体" w:cs="黑体"/>
                <w:sz w:val="24"/>
                <w:highlight w:val="none"/>
              </w:rPr>
            </w:pPr>
            <w:r>
              <w:rPr>
                <w:rFonts w:hint="eastAsia" w:ascii="黑体" w:hAnsi="黑体" w:eastAsia="黑体" w:cs="黑体"/>
                <w:sz w:val="24"/>
                <w:highlight w:val="none"/>
              </w:rPr>
              <w:t>本年增/减</w:t>
            </w:r>
          </w:p>
        </w:tc>
        <w:tc>
          <w:tcPr>
            <w:tcW w:w="1984" w:type="dxa"/>
            <w:vAlign w:val="center"/>
          </w:tcPr>
          <w:p>
            <w:pPr>
              <w:spacing w:line="400" w:lineRule="exact"/>
              <w:jc w:val="center"/>
              <w:rPr>
                <w:rFonts w:hint="eastAsia" w:ascii="黑体" w:hAnsi="黑体" w:eastAsia="黑体" w:cs="黑体"/>
                <w:sz w:val="24"/>
                <w:highlight w:val="none"/>
              </w:rPr>
            </w:pPr>
            <w:r>
              <w:rPr>
                <w:rFonts w:hint="eastAsia" w:ascii="黑体" w:hAnsi="黑体" w:eastAsia="黑体" w:cs="黑体"/>
                <w:sz w:val="24"/>
                <w:highlight w:val="none"/>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行政处罚</w:t>
            </w:r>
          </w:p>
        </w:tc>
        <w:tc>
          <w:tcPr>
            <w:tcW w:w="2605" w:type="dxa"/>
            <w:vAlign w:val="center"/>
          </w:tcPr>
          <w:p>
            <w:pPr>
              <w:spacing w:line="400" w:lineRule="exact"/>
              <w:jc w:val="center"/>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67</w:t>
            </w:r>
          </w:p>
        </w:tc>
        <w:tc>
          <w:tcPr>
            <w:tcW w:w="2268" w:type="dxa"/>
            <w:vAlign w:val="center"/>
          </w:tcPr>
          <w:p>
            <w:pPr>
              <w:spacing w:line="400" w:lineRule="exact"/>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0</w:t>
            </w:r>
          </w:p>
        </w:tc>
        <w:tc>
          <w:tcPr>
            <w:tcW w:w="1984" w:type="dxa"/>
            <w:vAlign w:val="center"/>
          </w:tcPr>
          <w:p>
            <w:pPr>
              <w:spacing w:line="400" w:lineRule="exact"/>
              <w:jc w:val="center"/>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行政强制</w:t>
            </w:r>
          </w:p>
        </w:tc>
        <w:tc>
          <w:tcPr>
            <w:tcW w:w="2605" w:type="dxa"/>
            <w:vAlign w:val="center"/>
          </w:tcPr>
          <w:p>
            <w:pPr>
              <w:spacing w:line="400" w:lineRule="exact"/>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0</w:t>
            </w:r>
          </w:p>
        </w:tc>
        <w:tc>
          <w:tcPr>
            <w:tcW w:w="2268" w:type="dxa"/>
            <w:vAlign w:val="center"/>
          </w:tcPr>
          <w:p>
            <w:pPr>
              <w:spacing w:line="400" w:lineRule="exact"/>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0</w:t>
            </w:r>
          </w:p>
        </w:tc>
        <w:tc>
          <w:tcPr>
            <w:tcW w:w="1984" w:type="dxa"/>
            <w:vAlign w:val="center"/>
          </w:tcPr>
          <w:p>
            <w:pPr>
              <w:spacing w:line="400" w:lineRule="exact"/>
              <w:jc w:val="cente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31" w:type="dxa"/>
            <w:gridSpan w:val="4"/>
            <w:vAlign w:val="top"/>
          </w:tcPr>
          <w:p>
            <w:pPr>
              <w:spacing w:line="400" w:lineRule="exact"/>
              <w:jc w:val="center"/>
              <w:rPr>
                <w:rFonts w:hint="eastAsia" w:ascii="黑体" w:hAnsi="黑体" w:eastAsia="黑体" w:cs="黑体"/>
                <w:sz w:val="24"/>
              </w:rPr>
            </w:pPr>
            <w:r>
              <w:rPr>
                <w:rFonts w:hint="eastAsia" w:ascii="黑体" w:hAnsi="黑体" w:eastAsia="黑体" w:cs="黑体"/>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4"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信息内容</w:t>
            </w:r>
          </w:p>
        </w:tc>
        <w:tc>
          <w:tcPr>
            <w:tcW w:w="2605"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上一年项目数量</w:t>
            </w:r>
          </w:p>
        </w:tc>
        <w:tc>
          <w:tcPr>
            <w:tcW w:w="4252" w:type="dxa"/>
            <w:gridSpan w:val="2"/>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行政事业性收费</w:t>
            </w:r>
          </w:p>
        </w:tc>
        <w:tc>
          <w:tcPr>
            <w:tcW w:w="2605"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w:t>
            </w:r>
          </w:p>
        </w:tc>
        <w:tc>
          <w:tcPr>
            <w:tcW w:w="4252" w:type="dxa"/>
            <w:gridSpan w:val="2"/>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31" w:type="dxa"/>
            <w:gridSpan w:val="4"/>
            <w:vAlign w:val="top"/>
          </w:tcPr>
          <w:p>
            <w:pPr>
              <w:spacing w:line="400" w:lineRule="exact"/>
              <w:jc w:val="center"/>
              <w:rPr>
                <w:rFonts w:hint="eastAsia" w:ascii="黑体" w:hAnsi="黑体" w:eastAsia="黑体" w:cs="黑体"/>
                <w:sz w:val="24"/>
              </w:rPr>
            </w:pPr>
            <w:r>
              <w:rPr>
                <w:rFonts w:hint="eastAsia" w:ascii="黑体" w:hAnsi="黑体" w:eastAsia="黑体" w:cs="黑体"/>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4"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信息内容</w:t>
            </w:r>
          </w:p>
        </w:tc>
        <w:tc>
          <w:tcPr>
            <w:tcW w:w="2605"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采购项目数量</w:t>
            </w:r>
          </w:p>
        </w:tc>
        <w:tc>
          <w:tcPr>
            <w:tcW w:w="4252" w:type="dxa"/>
            <w:gridSpan w:val="2"/>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政府集中采购</w:t>
            </w:r>
          </w:p>
        </w:tc>
        <w:tc>
          <w:tcPr>
            <w:tcW w:w="2605" w:type="dxa"/>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14</w:t>
            </w:r>
          </w:p>
        </w:tc>
        <w:tc>
          <w:tcPr>
            <w:tcW w:w="4252" w:type="dxa"/>
            <w:gridSpan w:val="2"/>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378.75万元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default" w:ascii="仿宋" w:hAnsi="仿宋" w:eastAsia="仿宋" w:cs="仿宋"/>
          <w:sz w:val="32"/>
          <w:szCs w:val="32"/>
          <w:lang w:val="en-US" w:eastAsia="zh-CN"/>
        </w:rPr>
      </w:pPr>
      <w:r>
        <w:rPr>
          <w:rFonts w:hint="eastAsia" w:ascii="黑体" w:hAnsi="黑体" w:eastAsia="黑体" w:cs="黑体"/>
          <w:sz w:val="32"/>
          <w:szCs w:val="32"/>
          <w:lang w:eastAsia="zh-CN"/>
        </w:rPr>
        <w:t>三、收到和处理政府信息公开申请情况</w:t>
      </w:r>
    </w:p>
    <w:tbl>
      <w:tblPr>
        <w:tblStyle w:val="11"/>
        <w:tblW w:w="93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41"/>
        <w:gridCol w:w="2029"/>
        <w:gridCol w:w="839"/>
        <w:gridCol w:w="709"/>
        <w:gridCol w:w="709"/>
        <w:gridCol w:w="992"/>
        <w:gridCol w:w="814"/>
        <w:gridCol w:w="481"/>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5" w:type="dxa"/>
            <w:gridSpan w:val="3"/>
            <w:vMerge w:val="restart"/>
            <w:vAlign w:val="center"/>
          </w:tcPr>
          <w:p>
            <w:pPr>
              <w:spacing w:line="400" w:lineRule="exact"/>
              <w:rPr>
                <w:rFonts w:ascii="宋体" w:hAnsi="宋体"/>
                <w:sz w:val="18"/>
                <w:szCs w:val="18"/>
              </w:rPr>
            </w:pPr>
            <w:r>
              <w:rPr>
                <w:rFonts w:hint="eastAsia" w:ascii="仿宋_GB2312" w:hAnsi="仿宋_GB2312" w:eastAsia="仿宋_GB2312" w:cs="仿宋_GB2312"/>
                <w:sz w:val="24"/>
              </w:rPr>
              <w:t>（本列数据的勾稽关系为：第一项加第二项之和，等于第三项加第四项之和）</w:t>
            </w:r>
          </w:p>
        </w:tc>
        <w:tc>
          <w:tcPr>
            <w:tcW w:w="5174" w:type="dxa"/>
            <w:gridSpan w:val="7"/>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5" w:type="dxa"/>
            <w:gridSpan w:val="3"/>
            <w:vMerge w:val="continue"/>
            <w:vAlign w:val="center"/>
          </w:tcPr>
          <w:p>
            <w:pPr>
              <w:spacing w:line="400" w:lineRule="exact"/>
              <w:rPr>
                <w:rFonts w:ascii="宋体" w:hAnsi="宋体"/>
                <w:sz w:val="18"/>
                <w:szCs w:val="18"/>
              </w:rPr>
            </w:pPr>
          </w:p>
        </w:tc>
        <w:tc>
          <w:tcPr>
            <w:tcW w:w="839" w:type="dxa"/>
            <w:vMerge w:val="restart"/>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自然人</w:t>
            </w:r>
          </w:p>
        </w:tc>
        <w:tc>
          <w:tcPr>
            <w:tcW w:w="3705" w:type="dxa"/>
            <w:gridSpan w:val="5"/>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法人或其他组织</w:t>
            </w:r>
          </w:p>
        </w:tc>
        <w:tc>
          <w:tcPr>
            <w:tcW w:w="630" w:type="dxa"/>
            <w:vMerge w:val="restart"/>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5" w:type="dxa"/>
            <w:gridSpan w:val="3"/>
            <w:vMerge w:val="continue"/>
            <w:vAlign w:val="center"/>
          </w:tcPr>
          <w:p>
            <w:pPr>
              <w:spacing w:line="400" w:lineRule="exact"/>
              <w:rPr>
                <w:rFonts w:ascii="宋体" w:hAnsi="宋体"/>
                <w:sz w:val="18"/>
                <w:szCs w:val="18"/>
              </w:rPr>
            </w:pPr>
          </w:p>
        </w:tc>
        <w:tc>
          <w:tcPr>
            <w:tcW w:w="839" w:type="dxa"/>
            <w:vMerge w:val="continue"/>
            <w:vAlign w:val="center"/>
          </w:tcPr>
          <w:p>
            <w:pPr>
              <w:spacing w:line="400" w:lineRule="exact"/>
              <w:rPr>
                <w:rFonts w:hint="eastAsia" w:ascii="黑体" w:hAnsi="黑体" w:eastAsia="黑体" w:cs="黑体"/>
                <w:sz w:val="24"/>
              </w:rPr>
            </w:pPr>
          </w:p>
        </w:tc>
        <w:tc>
          <w:tcPr>
            <w:tcW w:w="709"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商业企业</w:t>
            </w:r>
          </w:p>
        </w:tc>
        <w:tc>
          <w:tcPr>
            <w:tcW w:w="709"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科研机构</w:t>
            </w:r>
          </w:p>
        </w:tc>
        <w:tc>
          <w:tcPr>
            <w:tcW w:w="992"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社会公益组织</w:t>
            </w:r>
          </w:p>
        </w:tc>
        <w:tc>
          <w:tcPr>
            <w:tcW w:w="814"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法律服务机构</w:t>
            </w:r>
          </w:p>
        </w:tc>
        <w:tc>
          <w:tcPr>
            <w:tcW w:w="481" w:type="dxa"/>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其他</w:t>
            </w:r>
          </w:p>
        </w:tc>
        <w:tc>
          <w:tcPr>
            <w:tcW w:w="630" w:type="dxa"/>
            <w:vMerge w:val="continue"/>
            <w:vAlign w:val="center"/>
          </w:tcPr>
          <w:p>
            <w:pPr>
              <w:spacing w:line="40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225" w:type="dxa"/>
            <w:gridSpan w:val="3"/>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一、本年新收到政府信息公开申请数量</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1</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4225" w:type="dxa"/>
            <w:gridSpan w:val="3"/>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二、上年转结政府信息公开申请数量</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restart"/>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三、本年度办理结果</w:t>
            </w:r>
          </w:p>
        </w:tc>
        <w:tc>
          <w:tcPr>
            <w:tcW w:w="3170" w:type="dxa"/>
            <w:gridSpan w:val="2"/>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（一）予以公开</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3170" w:type="dxa"/>
            <w:gridSpan w:val="2"/>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（二）部分公开（区分处理的，只计这一情形，不计其他情形）</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restart"/>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（三）不予公开</w:t>
            </w: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1.属于国家秘密</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continue"/>
            <w:vAlign w:val="center"/>
          </w:tcPr>
          <w:p>
            <w:pPr>
              <w:spacing w:line="400" w:lineRule="exact"/>
              <w:rPr>
                <w:rFonts w:hint="eastAsia" w:ascii="仿宋_GB2312" w:hAnsi="仿宋_GB2312" w:eastAsia="仿宋_GB2312" w:cs="仿宋_GB2312"/>
                <w:sz w:val="24"/>
              </w:rPr>
            </w:pP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2.其他法律行政法规禁止公开</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continue"/>
            <w:vAlign w:val="center"/>
          </w:tcPr>
          <w:p>
            <w:pPr>
              <w:spacing w:line="400" w:lineRule="exact"/>
              <w:rPr>
                <w:rFonts w:hint="eastAsia" w:ascii="仿宋_GB2312" w:hAnsi="仿宋_GB2312" w:eastAsia="仿宋_GB2312" w:cs="仿宋_GB2312"/>
                <w:sz w:val="24"/>
              </w:rPr>
            </w:pP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3.危及“三安全一稳定”</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continue"/>
            <w:vAlign w:val="center"/>
          </w:tcPr>
          <w:p>
            <w:pPr>
              <w:spacing w:line="400" w:lineRule="exact"/>
              <w:rPr>
                <w:rFonts w:hint="eastAsia" w:ascii="仿宋_GB2312" w:hAnsi="仿宋_GB2312" w:eastAsia="仿宋_GB2312" w:cs="仿宋_GB2312"/>
                <w:sz w:val="24"/>
              </w:rPr>
            </w:pP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4.保护第三方合法权益</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continue"/>
            <w:vAlign w:val="center"/>
          </w:tcPr>
          <w:p>
            <w:pPr>
              <w:spacing w:line="400" w:lineRule="exact"/>
              <w:rPr>
                <w:rFonts w:hint="eastAsia" w:ascii="仿宋_GB2312" w:hAnsi="仿宋_GB2312" w:eastAsia="仿宋_GB2312" w:cs="仿宋_GB2312"/>
                <w:sz w:val="24"/>
              </w:rPr>
            </w:pP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5.属于三类内部事务信息</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continue"/>
            <w:vAlign w:val="center"/>
          </w:tcPr>
          <w:p>
            <w:pPr>
              <w:spacing w:line="400" w:lineRule="exact"/>
              <w:rPr>
                <w:rFonts w:hint="eastAsia" w:ascii="仿宋_GB2312" w:hAnsi="仿宋_GB2312" w:eastAsia="仿宋_GB2312" w:cs="仿宋_GB2312"/>
                <w:sz w:val="24"/>
              </w:rPr>
            </w:pP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6.属于四类过程性信息</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continue"/>
            <w:vAlign w:val="center"/>
          </w:tcPr>
          <w:p>
            <w:pPr>
              <w:spacing w:line="400" w:lineRule="exact"/>
              <w:rPr>
                <w:rFonts w:hint="eastAsia" w:ascii="仿宋_GB2312" w:hAnsi="仿宋_GB2312" w:eastAsia="仿宋_GB2312" w:cs="仿宋_GB2312"/>
                <w:sz w:val="24"/>
              </w:rPr>
            </w:pP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7.属于行政执法案卷</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continue"/>
            <w:vAlign w:val="center"/>
          </w:tcPr>
          <w:p>
            <w:pPr>
              <w:spacing w:line="400" w:lineRule="exact"/>
              <w:rPr>
                <w:rFonts w:hint="eastAsia" w:ascii="仿宋_GB2312" w:hAnsi="仿宋_GB2312" w:eastAsia="仿宋_GB2312" w:cs="仿宋_GB2312"/>
                <w:sz w:val="24"/>
              </w:rPr>
            </w:pP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8.属于行政查询事项</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restart"/>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（四）无法提供</w:t>
            </w: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1.本机关不掌握相关政府信息</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continue"/>
            <w:vAlign w:val="center"/>
          </w:tcPr>
          <w:p>
            <w:pPr>
              <w:spacing w:line="400" w:lineRule="exact"/>
              <w:rPr>
                <w:rFonts w:hint="eastAsia" w:ascii="仿宋_GB2312" w:hAnsi="仿宋_GB2312" w:eastAsia="仿宋_GB2312" w:cs="仿宋_GB2312"/>
                <w:sz w:val="24"/>
              </w:rPr>
            </w:pP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2.没有现成信息需要另行制作</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1</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continue"/>
            <w:vAlign w:val="center"/>
          </w:tcPr>
          <w:p>
            <w:pPr>
              <w:spacing w:line="400" w:lineRule="exact"/>
              <w:rPr>
                <w:rFonts w:hint="eastAsia" w:ascii="仿宋_GB2312" w:hAnsi="仿宋_GB2312" w:eastAsia="仿宋_GB2312" w:cs="仿宋_GB2312"/>
                <w:sz w:val="24"/>
              </w:rPr>
            </w:pP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3.补正后申请内容仍不明确</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restart"/>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（五）不予处理</w:t>
            </w: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1.信访举报投诉类申请</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continue"/>
            <w:vAlign w:val="center"/>
          </w:tcPr>
          <w:p>
            <w:pPr>
              <w:spacing w:line="400" w:lineRule="exact"/>
              <w:rPr>
                <w:rFonts w:hint="eastAsia" w:ascii="仿宋_GB2312" w:hAnsi="仿宋_GB2312" w:eastAsia="仿宋_GB2312" w:cs="仿宋_GB2312"/>
                <w:sz w:val="24"/>
              </w:rPr>
            </w:pP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2.重复申请</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continue"/>
            <w:vAlign w:val="center"/>
          </w:tcPr>
          <w:p>
            <w:pPr>
              <w:spacing w:line="400" w:lineRule="exact"/>
              <w:rPr>
                <w:rFonts w:hint="eastAsia" w:ascii="仿宋_GB2312" w:hAnsi="仿宋_GB2312" w:eastAsia="仿宋_GB2312" w:cs="仿宋_GB2312"/>
                <w:sz w:val="24"/>
              </w:rPr>
            </w:pP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3.要求提供公开出版物</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continue"/>
            <w:vAlign w:val="center"/>
          </w:tcPr>
          <w:p>
            <w:pPr>
              <w:spacing w:line="400" w:lineRule="exact"/>
              <w:rPr>
                <w:rFonts w:hint="eastAsia" w:ascii="仿宋_GB2312" w:hAnsi="仿宋_GB2312" w:eastAsia="仿宋_GB2312" w:cs="仿宋_GB2312"/>
                <w:sz w:val="24"/>
              </w:rPr>
            </w:pP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4.无正当理由大量反复申请</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1141" w:type="dxa"/>
            <w:vMerge w:val="continue"/>
            <w:vAlign w:val="center"/>
          </w:tcPr>
          <w:p>
            <w:pPr>
              <w:spacing w:line="400" w:lineRule="exact"/>
              <w:rPr>
                <w:rFonts w:hint="eastAsia" w:ascii="仿宋_GB2312" w:hAnsi="仿宋_GB2312" w:eastAsia="仿宋_GB2312" w:cs="仿宋_GB2312"/>
                <w:sz w:val="24"/>
              </w:rPr>
            </w:pPr>
          </w:p>
        </w:tc>
        <w:tc>
          <w:tcPr>
            <w:tcW w:w="202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5.要求行政机关确认或重新出具已获取信息</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3170" w:type="dxa"/>
            <w:gridSpan w:val="2"/>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（六）其他处理</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055" w:type="dxa"/>
            <w:vMerge w:val="continue"/>
            <w:vAlign w:val="center"/>
          </w:tcPr>
          <w:p>
            <w:pPr>
              <w:spacing w:line="400" w:lineRule="exact"/>
              <w:rPr>
                <w:rFonts w:hint="eastAsia" w:ascii="仿宋_GB2312" w:hAnsi="仿宋_GB2312" w:eastAsia="仿宋_GB2312" w:cs="仿宋_GB2312"/>
                <w:sz w:val="24"/>
              </w:rPr>
            </w:pPr>
          </w:p>
        </w:tc>
        <w:tc>
          <w:tcPr>
            <w:tcW w:w="3170" w:type="dxa"/>
            <w:gridSpan w:val="2"/>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（七）总计</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1</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4225" w:type="dxa"/>
            <w:gridSpan w:val="3"/>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四、转结下年度继续办理</w:t>
            </w:r>
          </w:p>
        </w:tc>
        <w:tc>
          <w:tcPr>
            <w:tcW w:w="83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992"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81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481"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c>
          <w:tcPr>
            <w:tcW w:w="63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Times New Roman"/>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四、政府信息公开行政复议、行政诉讼情况</w:t>
      </w:r>
    </w:p>
    <w:tbl>
      <w:tblPr>
        <w:tblStyle w:val="11"/>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553"/>
        <w:gridCol w:w="553"/>
        <w:gridCol w:w="553"/>
        <w:gridCol w:w="553"/>
        <w:gridCol w:w="553"/>
        <w:gridCol w:w="553"/>
        <w:gridCol w:w="553"/>
        <w:gridCol w:w="553"/>
        <w:gridCol w:w="553"/>
        <w:gridCol w:w="553"/>
        <w:gridCol w:w="553"/>
        <w:gridCol w:w="553"/>
        <w:gridCol w:w="553"/>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gridSpan w:val="5"/>
            <w:vMerge w:val="restart"/>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行政复议</w:t>
            </w:r>
          </w:p>
        </w:tc>
        <w:tc>
          <w:tcPr>
            <w:tcW w:w="5531" w:type="dxa"/>
            <w:gridSpan w:val="1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gridSpan w:val="5"/>
            <w:vMerge w:val="continue"/>
            <w:vAlign w:val="center"/>
          </w:tcPr>
          <w:p>
            <w:pPr>
              <w:spacing w:line="400" w:lineRule="exact"/>
              <w:jc w:val="center"/>
              <w:rPr>
                <w:rFonts w:hint="eastAsia" w:ascii="黑体" w:hAnsi="黑体" w:eastAsia="黑体" w:cs="黑体"/>
                <w:sz w:val="24"/>
              </w:rPr>
            </w:pPr>
          </w:p>
        </w:tc>
        <w:tc>
          <w:tcPr>
            <w:tcW w:w="2765" w:type="dxa"/>
            <w:gridSpan w:val="5"/>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未经复议直接起诉</w:t>
            </w:r>
          </w:p>
        </w:tc>
        <w:tc>
          <w:tcPr>
            <w:tcW w:w="2766" w:type="dxa"/>
            <w:gridSpan w:val="5"/>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c>
          <w:tcPr>
            <w:tcW w:w="55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c>
          <w:tcPr>
            <w:tcW w:w="55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5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4"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2020年以来</w:t>
      </w:r>
      <w:r>
        <w:rPr>
          <w:rFonts w:hint="default" w:ascii="仿宋" w:hAnsi="仿宋" w:eastAsia="仿宋" w:cs="仿宋"/>
          <w:sz w:val="32"/>
          <w:szCs w:val="32"/>
          <w:lang w:val="en-US" w:eastAsia="zh-CN"/>
        </w:rPr>
        <w:t>，我局信息公开工作</w:t>
      </w:r>
      <w:r>
        <w:rPr>
          <w:rFonts w:hint="eastAsia" w:ascii="仿宋" w:hAnsi="仿宋" w:eastAsia="仿宋" w:cs="仿宋"/>
          <w:sz w:val="32"/>
          <w:szCs w:val="32"/>
          <w:lang w:val="en-US" w:eastAsia="zh-CN"/>
        </w:rPr>
        <w:t>虽</w:t>
      </w:r>
      <w:r>
        <w:rPr>
          <w:rFonts w:hint="default" w:ascii="仿宋" w:hAnsi="仿宋" w:eastAsia="仿宋" w:cs="仿宋"/>
          <w:sz w:val="32"/>
          <w:szCs w:val="32"/>
          <w:lang w:val="en-US" w:eastAsia="zh-CN"/>
        </w:rPr>
        <w:t>取得了一定成效，但与</w:t>
      </w:r>
      <w:r>
        <w:rPr>
          <w:rFonts w:hint="eastAsia" w:ascii="仿宋" w:hAnsi="仿宋" w:eastAsia="仿宋" w:cs="仿宋"/>
          <w:sz w:val="32"/>
          <w:szCs w:val="32"/>
          <w:lang w:val="en-US" w:eastAsia="zh-CN"/>
        </w:rPr>
        <w:t>上级要求和公众需求仍</w:t>
      </w:r>
      <w:r>
        <w:rPr>
          <w:rFonts w:hint="default" w:ascii="仿宋" w:hAnsi="仿宋" w:eastAsia="仿宋" w:cs="仿宋"/>
          <w:sz w:val="32"/>
          <w:szCs w:val="32"/>
          <w:lang w:val="en-US" w:eastAsia="zh-CN"/>
        </w:rPr>
        <w:t>存在</w:t>
      </w:r>
      <w:r>
        <w:rPr>
          <w:rFonts w:hint="eastAsia" w:ascii="仿宋" w:hAnsi="仿宋" w:eastAsia="仿宋" w:cs="仿宋"/>
          <w:sz w:val="32"/>
          <w:szCs w:val="32"/>
          <w:lang w:val="en-US" w:eastAsia="zh-CN"/>
        </w:rPr>
        <w:t>较大</w:t>
      </w:r>
      <w:r>
        <w:rPr>
          <w:rFonts w:hint="default" w:ascii="仿宋" w:hAnsi="仿宋" w:eastAsia="仿宋" w:cs="仿宋"/>
          <w:sz w:val="32"/>
          <w:szCs w:val="32"/>
          <w:lang w:val="en-US" w:eastAsia="zh-CN"/>
        </w:rPr>
        <w:t>差距，如政策文件解读不充分</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解读形式单一</w:t>
      </w:r>
      <w:r>
        <w:rPr>
          <w:rFonts w:hint="eastAsia" w:ascii="仿宋" w:hAnsi="仿宋" w:eastAsia="仿宋" w:cs="仿宋"/>
          <w:sz w:val="32"/>
          <w:szCs w:val="32"/>
          <w:lang w:val="en-US" w:eastAsia="zh-CN"/>
        </w:rPr>
        <w:t>、信息公开仍不够全面和及时等问题，</w:t>
      </w:r>
      <w:r>
        <w:rPr>
          <w:rFonts w:hint="default" w:ascii="仿宋" w:hAnsi="仿宋" w:eastAsia="仿宋" w:cs="仿宋"/>
          <w:sz w:val="32"/>
          <w:szCs w:val="32"/>
          <w:lang w:val="en-US" w:eastAsia="zh-CN"/>
        </w:rPr>
        <w:t>我们将从以下几方面进行改进：</w:t>
      </w:r>
      <w:r>
        <w:rPr>
          <w:rFonts w:hint="eastAsia" w:ascii="仿宋" w:hAnsi="仿宋" w:eastAsia="仿宋" w:cs="仿宋"/>
          <w:sz w:val="32"/>
          <w:szCs w:val="32"/>
          <w:lang w:val="en-US" w:eastAsia="zh-CN"/>
        </w:rPr>
        <w:t>一是继续强化认识，</w:t>
      </w:r>
      <w:r>
        <w:rPr>
          <w:rFonts w:hint="default" w:ascii="仿宋" w:hAnsi="仿宋" w:eastAsia="仿宋" w:cs="仿宋"/>
          <w:sz w:val="32"/>
          <w:szCs w:val="32"/>
          <w:lang w:val="en-US" w:eastAsia="zh-CN"/>
        </w:rPr>
        <w:t>严格落实主动公开、依申请公开等制度，确保政府信息公开工作规范运行</w:t>
      </w:r>
      <w:r>
        <w:rPr>
          <w:rFonts w:hint="eastAsia" w:ascii="仿宋" w:hAnsi="仿宋" w:eastAsia="仿宋" w:cs="仿宋"/>
          <w:sz w:val="32"/>
          <w:szCs w:val="32"/>
          <w:lang w:val="en-US" w:eastAsia="zh-CN"/>
        </w:rPr>
        <w:t>；二是</w:t>
      </w:r>
      <w:r>
        <w:rPr>
          <w:rFonts w:hint="default" w:ascii="仿宋" w:hAnsi="仿宋" w:eastAsia="仿宋" w:cs="仿宋"/>
          <w:sz w:val="32"/>
          <w:szCs w:val="32"/>
          <w:lang w:val="en-US" w:eastAsia="zh-CN"/>
        </w:rPr>
        <w:t>加强重要信息更新的频率和实效性，充分发挥门户网站政策宣传、便民利民的作用</w:t>
      </w:r>
      <w:r>
        <w:rPr>
          <w:rFonts w:hint="eastAsia" w:ascii="仿宋" w:hAnsi="仿宋" w:eastAsia="仿宋" w:cs="仿宋"/>
          <w:sz w:val="32"/>
          <w:szCs w:val="32"/>
          <w:lang w:val="en-US" w:eastAsia="zh-CN"/>
        </w:rPr>
        <w:t>；三是及时结合社会需求及部门职能，创新完善公开内容，强化宣传引导，进一步拓宽政府信息公开的作用。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无。</w:t>
      </w:r>
    </w:p>
    <w:sectPr>
      <w:pgSz w:w="11906" w:h="16838"/>
      <w:pgMar w:top="2137"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思源黑体 CN Bold">
    <w:panose1 w:val="020B0800000000000000"/>
    <w:charset w:val="86"/>
    <w:family w:val="auto"/>
    <w:pitch w:val="default"/>
    <w:sig w:usb0="20000003" w:usb1="2ADF3C10" w:usb2="00000016" w:usb3="00000000" w:csb0="60060107" w:csb1="00000000"/>
  </w:font>
  <w:font w:name="思源黑体 CN ExtraLight">
    <w:panose1 w:val="020B0200000000000000"/>
    <w:charset w:val="86"/>
    <w:family w:val="auto"/>
    <w:pitch w:val="default"/>
    <w:sig w:usb0="20000003" w:usb1="2ADF3C10" w:usb2="00000016" w:usb3="00000000" w:csb0="60060107" w:csb1="00000000"/>
  </w:font>
  <w:font w:name="思源黑体 CN Heavy">
    <w:panose1 w:val="020B0A00000000000000"/>
    <w:charset w:val="86"/>
    <w:family w:val="auto"/>
    <w:pitch w:val="default"/>
    <w:sig w:usb0="20000003" w:usb1="2ADF3C10" w:usb2="00000016" w:usb3="00000000" w:csb0="60060107" w:csb1="00000000"/>
  </w:font>
  <w:font w:name="思源黑体 CN Light">
    <w:panose1 w:val="020B0300000000000000"/>
    <w:charset w:val="86"/>
    <w:family w:val="auto"/>
    <w:pitch w:val="default"/>
    <w:sig w:usb0="20000003" w:usb1="2ADF3C10" w:usb2="00000016" w:usb3="00000000" w:csb0="60060107" w:csb1="00000000"/>
  </w:font>
  <w:font w:name="思源黑体 CN Medium">
    <w:panose1 w:val="020B0600000000000000"/>
    <w:charset w:val="86"/>
    <w:family w:val="auto"/>
    <w:pitch w:val="default"/>
    <w:sig w:usb0="20000003" w:usb1="2ADF3C10" w:usb2="00000016" w:usb3="00000000" w:csb0="60060107" w:csb1="00000000"/>
  </w:font>
  <w:font w:name="思源黑体 CN Normal">
    <w:panose1 w:val="020B0400000000000000"/>
    <w:charset w:val="86"/>
    <w:family w:val="auto"/>
    <w:pitch w:val="default"/>
    <w:sig w:usb0="20000003" w:usb1="2ADF3C10" w:usb2="00000016" w:usb3="00000000" w:csb0="60060107" w:csb1="00000000"/>
  </w:font>
  <w:font w:name="思源黑体 CN Regular">
    <w:panose1 w:val="020B0500000000000000"/>
    <w:charset w:val="86"/>
    <w:family w:val="auto"/>
    <w:pitch w:val="default"/>
    <w:sig w:usb0="20000003" w:usb1="2ADF3C10" w:usb2="00000016" w:usb3="00000000" w:csb0="60060107" w:csb1="00000000"/>
  </w:font>
  <w:font w:name="新宋体">
    <w:panose1 w:val="02010609030101010101"/>
    <w:charset w:val="86"/>
    <w:family w:val="auto"/>
    <w:pitch w:val="default"/>
    <w:sig w:usb0="00000283" w:usb1="288F0000" w:usb2="00000006" w:usb3="00000000" w:csb0="00040001" w:csb1="00000000"/>
  </w:font>
  <w:font w:name="方正大黑简体">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造字工房尚雅（非商用）常规体">
    <w:panose1 w:val="00000000000000000000"/>
    <w:charset w:val="86"/>
    <w:family w:val="auto"/>
    <w:pitch w:val="default"/>
    <w:sig w:usb0="00000001" w:usb1="08010000" w:usb2="00000000" w:usb3="00000000" w:csb0="00040001" w:csb1="00000000"/>
  </w:font>
  <w:font w:name="黑体">
    <w:panose1 w:val="02010609060101010101"/>
    <w:charset w:val="86"/>
    <w:family w:val="auto"/>
    <w:pitch w:val="default"/>
    <w:sig w:usb0="800002BF" w:usb1="38CF7CFA" w:usb2="00000016" w:usb3="00000000" w:csb0="00040001" w:csb1="00000000"/>
  </w:font>
  <w:font w:name="ＤＦ中太楷書体">
    <w:panose1 w:val="02010609010101010101"/>
    <w:charset w:val="80"/>
    <w:family w:val="auto"/>
    <w:pitch w:val="default"/>
    <w:sig w:usb0="00000001" w:usb1="08070000" w:usb2="00000010" w:usb3="00000000" w:csb0="00020000" w:csb1="00000000"/>
  </w:font>
  <w:font w:name="ＤＦ明朝体W5">
    <w:panose1 w:val="02010609010101010101"/>
    <w:charset w:val="80"/>
    <w:family w:val="auto"/>
    <w:pitch w:val="default"/>
    <w:sig w:usb0="00000001" w:usb1="08070000" w:usb2="00000010" w:usb3="00000000" w:csb0="00020001" w:csb1="00000000"/>
  </w:font>
  <w:font w:name="DFGothic-EB">
    <w:panose1 w:val="02010609010101010101"/>
    <w:charset w:val="80"/>
    <w:family w:val="auto"/>
    <w:pitch w:val="default"/>
    <w:sig w:usb0="00000001" w:usb1="08070000" w:usb2="00000010" w:usb3="00000000" w:csb0="00020000" w:csb1="00000000"/>
  </w:font>
  <w:font w:name="DFMincho-SU">
    <w:panose1 w:val="02010609010101010101"/>
    <w:charset w:val="80"/>
    <w:family w:val="auto"/>
    <w:pitch w:val="default"/>
    <w:sig w:usb0="00000001" w:usb1="08070000" w:usb2="00000010" w:usb3="00000000" w:csb0="00020000" w:csb1="00000000"/>
  </w:font>
  <w:font w:name="DFMincho-UB">
    <w:panose1 w:val="02010609010101010101"/>
    <w:charset w:val="80"/>
    <w:family w:val="auto"/>
    <w:pitch w:val="default"/>
    <w:sig w:usb0="00000001" w:usb1="08070000" w:usb2="00000010" w:usb3="00000000" w:csb0="00020000" w:csb1="00000000"/>
  </w:font>
  <w:font w:name="微软雅黑">
    <w:panose1 w:val="020B0503020204020204"/>
    <w:charset w:val="86"/>
    <w:family w:val="auto"/>
    <w:pitch w:val="default"/>
    <w:sig w:usb0="80000287" w:usb1="2ACF3C50" w:usb2="00000016" w:usb3="00000000" w:csb0="0004001F" w:csb1="00000000"/>
  </w:font>
  <w:font w:name="方正小标宋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创艺简标宋">
    <w:altName w:val="黑体"/>
    <w:panose1 w:val="00000000000000000000"/>
    <w:charset w:val="86"/>
    <w:family w:val="auto"/>
    <w:pitch w:val="default"/>
    <w:sig w:usb0="00000000" w:usb1="00000000" w:usb2="00000000" w:usb3="00000000" w:csb0="00040001" w:csb1="00000000"/>
  </w:font>
  <w:font w:name="方正舒体">
    <w:altName w:val="宋体"/>
    <w:panose1 w:val="02010601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87538682">
    <w:nsid w:val="7C6D4FFA"/>
    <w:multiLevelType w:val="singleLevel"/>
    <w:tmpl w:val="7C6D4FFA"/>
    <w:lvl w:ilvl="0" w:tentative="1">
      <w:start w:val="6"/>
      <w:numFmt w:val="chineseCounting"/>
      <w:suff w:val="nothing"/>
      <w:lvlText w:val="%1、"/>
      <w:lvlJc w:val="left"/>
      <w:rPr>
        <w:rFonts w:hint="eastAsia"/>
      </w:rPr>
    </w:lvl>
  </w:abstractNum>
  <w:abstractNum w:abstractNumId="1240777160">
    <w:nsid w:val="49F4C1C8"/>
    <w:multiLevelType w:val="singleLevel"/>
    <w:tmpl w:val="49F4C1C8"/>
    <w:lvl w:ilvl="0" w:tentative="1">
      <w:start w:val="2"/>
      <w:numFmt w:val="chineseCounting"/>
      <w:suff w:val="nothing"/>
      <w:lvlText w:val="%1、"/>
      <w:lvlJc w:val="left"/>
      <w:pPr>
        <w:ind w:left="640" w:leftChars="0" w:firstLine="0" w:firstLineChars="0"/>
      </w:pPr>
      <w:rPr>
        <w:rFonts w:hint="eastAsia"/>
      </w:rPr>
    </w:lvl>
  </w:abstractNum>
  <w:num w:numId="1">
    <w:abstractNumId w:val="1240777160"/>
  </w:num>
  <w:num w:numId="2">
    <w:abstractNumId w:val="20875386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16365"/>
    <w:rsid w:val="06273853"/>
    <w:rsid w:val="0F3F6837"/>
    <w:rsid w:val="25082B7F"/>
    <w:rsid w:val="5C31636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jc w:val="left"/>
    </w:pPr>
    <w:rPr>
      <w:kern w:val="0"/>
      <w:sz w:val="24"/>
    </w:rPr>
  </w:style>
  <w:style w:type="character" w:styleId="4">
    <w:name w:val="Strong"/>
    <w:basedOn w:val="3"/>
    <w:qFormat/>
    <w:uiPriority w:val="0"/>
    <w:rPr>
      <w:b/>
    </w:rPr>
  </w:style>
  <w:style w:type="character" w:styleId="5">
    <w:name w:val="FollowedHyperlink"/>
    <w:basedOn w:val="3"/>
    <w:qFormat/>
    <w:uiPriority w:val="0"/>
    <w:rPr>
      <w:color w:val="2B2B2B"/>
      <w:u w:val="none"/>
    </w:rPr>
  </w:style>
  <w:style w:type="character" w:styleId="6">
    <w:name w:val="HTML Definition"/>
    <w:basedOn w:val="3"/>
    <w:qFormat/>
    <w:uiPriority w:val="0"/>
    <w:rPr>
      <w:b/>
      <w:i/>
      <w:color w:val="000000"/>
      <w:sz w:val="31"/>
      <w:szCs w:val="31"/>
    </w:rPr>
  </w:style>
  <w:style w:type="character" w:styleId="7">
    <w:name w:val="Hyperlink"/>
    <w:basedOn w:val="3"/>
    <w:uiPriority w:val="0"/>
    <w:rPr>
      <w:color w:val="2B2B2B"/>
      <w:u w:val="none"/>
    </w:rPr>
  </w:style>
  <w:style w:type="character" w:styleId="8">
    <w:name w:val="HTML Code"/>
    <w:basedOn w:val="3"/>
    <w:qFormat/>
    <w:uiPriority w:val="0"/>
    <w:rPr>
      <w:rFonts w:ascii="Consolas" w:hAnsi="Consolas" w:eastAsia="Consolas" w:cs="Consolas"/>
      <w:b/>
      <w:color w:val="C7254E"/>
      <w:sz w:val="21"/>
      <w:szCs w:val="21"/>
      <w:shd w:val="clear" w:fill="F9F2F4"/>
    </w:rPr>
  </w:style>
  <w:style w:type="character" w:styleId="9">
    <w:name w:val="HTML Keyboard"/>
    <w:basedOn w:val="3"/>
    <w:qFormat/>
    <w:uiPriority w:val="0"/>
    <w:rPr>
      <w:rFonts w:hint="default" w:ascii="Consolas" w:hAnsi="Consolas" w:eastAsia="Consolas" w:cs="Consolas"/>
      <w:color w:val="FFFFFF"/>
      <w:sz w:val="21"/>
      <w:szCs w:val="21"/>
      <w:shd w:val="clear" w:fill="333333"/>
    </w:rPr>
  </w:style>
  <w:style w:type="character" w:styleId="10">
    <w:name w:val="HTML Sample"/>
    <w:basedOn w:val="3"/>
    <w:qFormat/>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2020-01-14T05:48:00Z</dcterms:created>
  <dc:creator>最萌一村照</dc:creator>
  <cp:lastModifiedBy>Administrator</cp:lastModifiedBy>
  <dcterms:modified xsi:type="dcterms:W3CDTF">2021-01-21T12:39:30Z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