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after="240" w:line="432" w:lineRule="atLeast"/>
        <w:ind w:firstLine="420"/>
        <w:jc w:val="center"/>
        <w:rPr>
          <w:rFonts w:asciiTheme="majorEastAsia" w:hAnsiTheme="majorEastAsia" w:eastAsiaTheme="majorEastAsia"/>
          <w:b/>
          <w:color w:val="333333"/>
          <w:sz w:val="36"/>
          <w:szCs w:val="36"/>
        </w:rPr>
      </w:pPr>
      <w:r>
        <w:rPr>
          <w:rFonts w:hint="eastAsia" w:asciiTheme="majorEastAsia" w:hAnsiTheme="majorEastAsia" w:eastAsiaTheme="majorEastAsia"/>
          <w:b/>
          <w:color w:val="333333"/>
          <w:sz w:val="36"/>
          <w:szCs w:val="36"/>
        </w:rPr>
        <w:t>宁海县教育局20</w:t>
      </w:r>
      <w:r>
        <w:rPr>
          <w:rFonts w:hint="eastAsia" w:asciiTheme="majorEastAsia" w:hAnsiTheme="majorEastAsia" w:eastAsiaTheme="majorEastAsia"/>
          <w:b/>
          <w:color w:val="333333"/>
          <w:sz w:val="36"/>
          <w:szCs w:val="36"/>
          <w:lang w:val="en-US" w:eastAsia="zh-CN"/>
        </w:rPr>
        <w:t>20</w:t>
      </w:r>
      <w:r>
        <w:rPr>
          <w:rFonts w:hint="eastAsia" w:asciiTheme="majorEastAsia" w:hAnsiTheme="majorEastAsia" w:eastAsiaTheme="majorEastAsia"/>
          <w:b/>
          <w:color w:val="333333"/>
          <w:sz w:val="36"/>
          <w:szCs w:val="36"/>
        </w:rPr>
        <w:t>年政府信息公开工作年度报告</w:t>
      </w:r>
    </w:p>
    <w:p>
      <w:pPr>
        <w:pStyle w:val="15"/>
        <w:widowControl w:val="0"/>
        <w:adjustRightInd w:val="0"/>
        <w:snapToGrid w:val="0"/>
        <w:spacing w:before="0" w:beforeAutospacing="0" w:after="0" w:afterAutospacing="0" w:line="500" w:lineRule="exact"/>
        <w:ind w:firstLine="0"/>
        <w:jc w:val="center"/>
        <w:rPr>
          <w:rFonts w:hint="eastAsia" w:asciiTheme="majorEastAsia" w:hAnsiTheme="majorEastAsia" w:eastAsiaTheme="majorEastAsia" w:cstheme="majorEastAsia"/>
          <w:b w:val="0"/>
          <w:bCs/>
          <w:color w:val="333333"/>
          <w:sz w:val="24"/>
          <w:szCs w:val="24"/>
        </w:rPr>
      </w:pPr>
      <w:r>
        <w:rPr>
          <w:rFonts w:hint="eastAsia" w:asciiTheme="majorEastAsia" w:hAnsiTheme="majorEastAsia" w:eastAsiaTheme="majorEastAsia" w:cstheme="majorEastAsia"/>
          <w:b w:val="0"/>
          <w:bCs/>
          <w:color w:val="333333"/>
          <w:sz w:val="24"/>
          <w:szCs w:val="24"/>
        </w:rPr>
        <w:t>宁海县教育局</w:t>
      </w:r>
    </w:p>
    <w:p>
      <w:pPr>
        <w:pStyle w:val="15"/>
        <w:widowControl w:val="0"/>
        <w:adjustRightInd w:val="0"/>
        <w:snapToGrid w:val="0"/>
        <w:spacing w:before="0" w:beforeAutospacing="0" w:after="0" w:afterAutospacing="0" w:line="500" w:lineRule="exact"/>
        <w:ind w:firstLine="0"/>
        <w:jc w:val="center"/>
        <w:rPr>
          <w:rFonts w:hint="eastAsia" w:asciiTheme="majorEastAsia" w:hAnsiTheme="majorEastAsia" w:eastAsiaTheme="majorEastAsia" w:cstheme="majorEastAsia"/>
          <w:b w:val="0"/>
          <w:bCs/>
          <w:color w:val="333333"/>
          <w:sz w:val="24"/>
          <w:szCs w:val="24"/>
        </w:rPr>
      </w:pPr>
      <w:r>
        <w:rPr>
          <w:rFonts w:hint="eastAsia" w:asciiTheme="majorEastAsia" w:hAnsiTheme="majorEastAsia" w:eastAsiaTheme="majorEastAsia" w:cstheme="majorEastAsia"/>
          <w:b w:val="0"/>
          <w:bCs/>
          <w:color w:val="333333"/>
          <w:sz w:val="24"/>
          <w:szCs w:val="24"/>
        </w:rPr>
        <w:t>202</w:t>
      </w:r>
      <w:r>
        <w:rPr>
          <w:rFonts w:hint="eastAsia" w:asciiTheme="majorEastAsia" w:hAnsiTheme="majorEastAsia" w:eastAsiaTheme="majorEastAsia" w:cstheme="majorEastAsia"/>
          <w:b w:val="0"/>
          <w:bCs/>
          <w:color w:val="333333"/>
          <w:sz w:val="24"/>
          <w:szCs w:val="24"/>
          <w:lang w:val="en-US" w:eastAsia="zh-CN"/>
        </w:rPr>
        <w:t>1</w:t>
      </w:r>
      <w:r>
        <w:rPr>
          <w:rFonts w:hint="eastAsia" w:asciiTheme="majorEastAsia" w:hAnsiTheme="majorEastAsia" w:eastAsiaTheme="majorEastAsia" w:cstheme="majorEastAsia"/>
          <w:b w:val="0"/>
          <w:bCs/>
          <w:color w:val="333333"/>
          <w:sz w:val="24"/>
          <w:szCs w:val="24"/>
        </w:rPr>
        <w:t>年1月2</w:t>
      </w:r>
      <w:r>
        <w:rPr>
          <w:rFonts w:hint="eastAsia" w:asciiTheme="majorEastAsia" w:hAnsiTheme="majorEastAsia" w:eastAsiaTheme="majorEastAsia" w:cstheme="majorEastAsia"/>
          <w:b w:val="0"/>
          <w:bCs/>
          <w:color w:val="333333"/>
          <w:sz w:val="24"/>
          <w:szCs w:val="24"/>
          <w:lang w:val="en-US" w:eastAsia="zh-CN"/>
        </w:rPr>
        <w:t>2</w:t>
      </w:r>
      <w:r>
        <w:rPr>
          <w:rFonts w:hint="eastAsia" w:asciiTheme="majorEastAsia" w:hAnsiTheme="majorEastAsia" w:eastAsiaTheme="majorEastAsia" w:cstheme="majorEastAsia"/>
          <w:b w:val="0"/>
          <w:bCs/>
          <w:color w:val="333333"/>
          <w:sz w:val="24"/>
          <w:szCs w:val="24"/>
        </w:rPr>
        <w:t>日</w:t>
      </w:r>
    </w:p>
    <w:p>
      <w:pPr>
        <w:pStyle w:val="15"/>
        <w:spacing w:after="240" w:line="432" w:lineRule="atLeast"/>
        <w:ind w:firstLine="564" w:firstLineChars="235"/>
        <w:rPr>
          <w:color w:val="333333"/>
        </w:rPr>
      </w:pPr>
      <w:r>
        <w:rPr>
          <w:rFonts w:hint="eastAsia"/>
          <w:color w:val="333333"/>
        </w:rPr>
        <w:t>根据《中华人民共和国政府信息公开条例》、《国务院办公厅政府信息与政务公开办公室关于政府信息公开工作年度报告有关事项的通知》</w:t>
      </w:r>
      <w:r>
        <w:rPr>
          <w:rFonts w:hint="eastAsia"/>
          <w:color w:val="333333"/>
          <w:lang w:eastAsia="zh-CN"/>
        </w:rPr>
        <w:t>要求</w:t>
      </w:r>
      <w:r>
        <w:rPr>
          <w:rFonts w:hint="eastAsia"/>
          <w:color w:val="333333"/>
        </w:rPr>
        <w:t>，宁海县教育局编制了《20</w:t>
      </w:r>
      <w:r>
        <w:rPr>
          <w:rFonts w:hint="eastAsia"/>
          <w:color w:val="333333"/>
          <w:lang w:val="en-US" w:eastAsia="zh-CN"/>
        </w:rPr>
        <w:t>20</w:t>
      </w:r>
      <w:r>
        <w:rPr>
          <w:rFonts w:hint="eastAsia"/>
          <w:color w:val="333333"/>
        </w:rPr>
        <w:t>年政府信息公开工作年度报告》。本报告中所列数据的统计期限自20</w:t>
      </w:r>
      <w:r>
        <w:rPr>
          <w:rFonts w:hint="eastAsia"/>
          <w:color w:val="333333"/>
          <w:lang w:val="en-US" w:eastAsia="zh-CN"/>
        </w:rPr>
        <w:t>20</w:t>
      </w:r>
      <w:r>
        <w:rPr>
          <w:rFonts w:hint="eastAsia"/>
          <w:color w:val="333333"/>
        </w:rPr>
        <w:t>年1月1日起至20</w:t>
      </w:r>
      <w:r>
        <w:rPr>
          <w:rFonts w:hint="eastAsia"/>
          <w:color w:val="333333"/>
          <w:lang w:val="en-US" w:eastAsia="zh-CN"/>
        </w:rPr>
        <w:t>20</w:t>
      </w:r>
      <w:r>
        <w:rPr>
          <w:rFonts w:hint="eastAsia"/>
          <w:color w:val="333333"/>
        </w:rPr>
        <w:t>年12月31日止。</w:t>
      </w:r>
    </w:p>
    <w:p>
      <w:pPr>
        <w:pStyle w:val="15"/>
        <w:spacing w:before="0" w:after="240" w:line="432" w:lineRule="atLeast"/>
        <w:ind w:firstLine="420"/>
        <w:jc w:val="both"/>
        <w:rPr>
          <w:b/>
          <w:color w:val="333333"/>
        </w:rPr>
      </w:pPr>
      <w:r>
        <w:rPr>
          <w:rFonts w:hint="eastAsia"/>
          <w:b/>
          <w:color w:val="333333"/>
        </w:rPr>
        <w:t>一、总体情况</w:t>
      </w:r>
    </w:p>
    <w:p>
      <w:pPr>
        <w:pStyle w:val="15"/>
        <w:spacing w:after="240" w:line="432" w:lineRule="atLeast"/>
        <w:ind w:firstLine="564" w:firstLineChars="235"/>
        <w:rPr>
          <w:rFonts w:hint="eastAsia"/>
          <w:color w:val="333333"/>
        </w:rPr>
      </w:pPr>
      <w:r>
        <w:rPr>
          <w:rFonts w:hint="eastAsia"/>
          <w:color w:val="333333"/>
        </w:rPr>
        <w:t>围绕20</w:t>
      </w:r>
      <w:r>
        <w:rPr>
          <w:rFonts w:hint="eastAsia"/>
          <w:color w:val="333333"/>
          <w:lang w:val="en-US" w:eastAsia="zh-CN"/>
        </w:rPr>
        <w:t>20</w:t>
      </w:r>
      <w:r>
        <w:rPr>
          <w:rFonts w:hint="eastAsia"/>
          <w:color w:val="333333"/>
        </w:rPr>
        <w:t>年县政府工作</w:t>
      </w:r>
      <w:r>
        <w:rPr>
          <w:rFonts w:hint="eastAsia"/>
          <w:color w:val="333333"/>
          <w:lang w:eastAsia="zh-CN"/>
        </w:rPr>
        <w:t>总体目标</w:t>
      </w:r>
      <w:r>
        <w:rPr>
          <w:rFonts w:hint="eastAsia"/>
          <w:color w:val="333333"/>
        </w:rPr>
        <w:t>，</w:t>
      </w:r>
      <w:r>
        <w:rPr>
          <w:rFonts w:hint="eastAsia"/>
          <w:color w:val="333333"/>
          <w:lang w:eastAsia="zh-CN"/>
        </w:rPr>
        <w:t>根据《浙江省人民政府办公厅关于全面推进基层政务公开标准化规范化工作的实施意见》有关要求，</w:t>
      </w:r>
      <w:r>
        <w:rPr>
          <w:rFonts w:hint="eastAsia"/>
          <w:color w:val="333333"/>
        </w:rPr>
        <w:t>切实深化教育</w:t>
      </w:r>
      <w:r>
        <w:rPr>
          <w:rFonts w:hint="eastAsia"/>
          <w:color w:val="333333"/>
          <w:lang w:eastAsia="zh-CN"/>
        </w:rPr>
        <w:t>领域</w:t>
      </w:r>
      <w:r>
        <w:rPr>
          <w:rFonts w:hint="eastAsia"/>
          <w:color w:val="333333"/>
        </w:rPr>
        <w:t>信息公开</w:t>
      </w:r>
      <w:r>
        <w:rPr>
          <w:rFonts w:hint="eastAsia"/>
          <w:color w:val="333333"/>
          <w:lang w:eastAsia="zh-CN"/>
        </w:rPr>
        <w:t>标准化工作</w:t>
      </w:r>
      <w:r>
        <w:rPr>
          <w:rFonts w:hint="eastAsia"/>
          <w:color w:val="333333"/>
        </w:rPr>
        <w:t>，</w:t>
      </w:r>
      <w:r>
        <w:rPr>
          <w:rFonts w:hint="eastAsia"/>
          <w:color w:val="333333"/>
          <w:lang w:eastAsia="zh-CN"/>
        </w:rPr>
        <w:t>制定完善政务公开事项标准目录，建立动态调整和长效管理机制。遵照“公开、公平、便民”的原则，强化“最多跑一次”理念，主动做好信息公开，特别是社会公益事业领域教育信息的主动公开。</w:t>
      </w:r>
      <w:r>
        <w:rPr>
          <w:rFonts w:hint="eastAsia"/>
          <w:color w:val="333333"/>
        </w:rPr>
        <w:t>重点做好义务教育、学前教育、特殊教育、高中段教育、职业教育、继续教育等方面的信息公开。做好县域义务教育均衡发展等工作进展情况的公开。推动民办学校办学资质审批、义务段学校阳光招生和收费政策、教育救助、教师招聘等信息公开。</w:t>
      </w:r>
    </w:p>
    <w:p>
      <w:pPr>
        <w:pStyle w:val="15"/>
        <w:spacing w:after="240" w:line="432" w:lineRule="atLeast"/>
        <w:ind w:firstLine="564" w:firstLineChars="235"/>
        <w:rPr>
          <w:rFonts w:hint="eastAsia"/>
          <w:color w:val="333333"/>
        </w:rPr>
      </w:pPr>
      <w:r>
        <w:rPr>
          <w:rFonts w:hint="eastAsia"/>
          <w:color w:val="333333"/>
        </w:rPr>
        <w:t>2020年，我局认真做好本单位网站和政务新媒体的平台建设工作，通过</w:t>
      </w:r>
      <w:r>
        <w:rPr>
          <w:rFonts w:hint="eastAsia"/>
          <w:color w:val="333333"/>
          <w:lang w:eastAsia="zh-CN"/>
        </w:rPr>
        <w:t>第三方季度评测与</w:t>
      </w:r>
      <w:r>
        <w:rPr>
          <w:rFonts w:hint="eastAsia"/>
          <w:color w:val="333333"/>
        </w:rPr>
        <w:t>自查自检的方式，定期对网站栏目更新情况、网站链接等方面进行</w:t>
      </w:r>
      <w:r>
        <w:rPr>
          <w:rFonts w:hint="eastAsia"/>
          <w:color w:val="333333"/>
          <w:lang w:eastAsia="zh-CN"/>
        </w:rPr>
        <w:t>整改</w:t>
      </w:r>
      <w:r>
        <w:rPr>
          <w:rFonts w:hint="eastAsia"/>
          <w:color w:val="333333"/>
        </w:rPr>
        <w:t>，不断加强信息公开平台的</w:t>
      </w:r>
      <w:r>
        <w:rPr>
          <w:rFonts w:hint="eastAsia"/>
          <w:color w:val="333333"/>
          <w:lang w:eastAsia="zh-CN"/>
        </w:rPr>
        <w:t>标准化、规范化</w:t>
      </w:r>
      <w:r>
        <w:rPr>
          <w:rFonts w:hint="eastAsia"/>
          <w:color w:val="333333"/>
        </w:rPr>
        <w:t>建设，充分保证了</w:t>
      </w:r>
      <w:r>
        <w:rPr>
          <w:rFonts w:hint="eastAsia"/>
          <w:color w:val="333333"/>
          <w:lang w:eastAsia="zh-CN"/>
        </w:rPr>
        <w:t>广大</w:t>
      </w:r>
      <w:r>
        <w:rPr>
          <w:rFonts w:hint="eastAsia"/>
          <w:color w:val="333333"/>
        </w:rPr>
        <w:t>群众对教育工作的知情权、参与权和监督权。</w:t>
      </w:r>
    </w:p>
    <w:p>
      <w:pPr>
        <w:pStyle w:val="15"/>
        <w:spacing w:after="240" w:line="432" w:lineRule="atLeast"/>
        <w:ind w:firstLine="564" w:firstLineChars="235"/>
        <w:rPr>
          <w:rFonts w:hint="eastAsia"/>
          <w:color w:val="333333"/>
          <w:lang w:eastAsia="zh-CN"/>
        </w:rPr>
      </w:pPr>
      <w:r>
        <w:rPr>
          <w:rFonts w:hint="eastAsia"/>
          <w:color w:val="333333"/>
        </w:rPr>
        <w:t>2020年，</w:t>
      </w:r>
      <w:r>
        <w:rPr>
          <w:rFonts w:hint="eastAsia"/>
          <w:color w:val="333333"/>
          <w:lang w:eastAsia="zh-CN"/>
        </w:rPr>
        <w:t>我</w:t>
      </w:r>
      <w:r>
        <w:rPr>
          <w:rFonts w:hint="eastAsia"/>
          <w:color w:val="333333"/>
        </w:rPr>
        <w:t>局在政府信息公开目录系统（http://www.ninghai.gov.cn/col/col1229128314/index.html）主动公开政府信息数</w:t>
      </w:r>
      <w:r>
        <w:rPr>
          <w:rFonts w:hint="eastAsia"/>
          <w:color w:val="333333"/>
          <w:lang w:val="en-US" w:eastAsia="zh-CN"/>
        </w:rPr>
        <w:t>209</w:t>
      </w:r>
      <w:r>
        <w:rPr>
          <w:rFonts w:hint="eastAsia"/>
          <w:color w:val="333333"/>
        </w:rPr>
        <w:t>条，</w:t>
      </w:r>
      <w:r>
        <w:rPr>
          <w:rFonts w:hint="eastAsia"/>
          <w:color w:val="333333"/>
          <w:lang w:eastAsia="zh-CN"/>
        </w:rPr>
        <w:t>教育网</w:t>
      </w:r>
      <w:r>
        <w:rPr>
          <w:rFonts w:hint="eastAsia"/>
          <w:color w:val="333333"/>
        </w:rPr>
        <w:t>动态信息</w:t>
      </w:r>
      <w:r>
        <w:rPr>
          <w:rFonts w:hint="eastAsia"/>
          <w:color w:val="333333"/>
          <w:lang w:val="en-US" w:eastAsia="zh-CN"/>
        </w:rPr>
        <w:t>170</w:t>
      </w:r>
      <w:r>
        <w:rPr>
          <w:rFonts w:hint="eastAsia"/>
          <w:color w:val="333333"/>
        </w:rPr>
        <w:t>条</w:t>
      </w:r>
      <w:r>
        <w:rPr>
          <w:rFonts w:hint="eastAsia"/>
          <w:color w:val="333333"/>
          <w:lang w:eastAsia="zh-CN"/>
        </w:rPr>
        <w:t>。</w:t>
      </w:r>
      <w:r>
        <w:rPr>
          <w:rFonts w:hint="eastAsia"/>
          <w:color w:val="333333"/>
        </w:rPr>
        <w:t>通过</w:t>
      </w:r>
      <w:r>
        <w:rPr>
          <w:rFonts w:hint="eastAsia"/>
          <w:color w:val="333333"/>
          <w:lang w:eastAsia="zh-CN"/>
        </w:rPr>
        <w:t>“宁海教育”</w:t>
      </w:r>
      <w:r>
        <w:rPr>
          <w:rFonts w:hint="eastAsia"/>
          <w:color w:val="333333"/>
        </w:rPr>
        <w:t>政务微博公开政府信息数</w:t>
      </w:r>
      <w:r>
        <w:rPr>
          <w:rFonts w:hint="eastAsia"/>
          <w:color w:val="333333"/>
          <w:lang w:val="en-US" w:eastAsia="zh-CN"/>
        </w:rPr>
        <w:t>132</w:t>
      </w:r>
      <w:r>
        <w:rPr>
          <w:rFonts w:hint="eastAsia"/>
          <w:color w:val="333333"/>
        </w:rPr>
        <w:t>条；</w:t>
      </w:r>
      <w:r>
        <w:rPr>
          <w:rFonts w:hint="eastAsia"/>
          <w:color w:val="333333"/>
          <w:lang w:eastAsia="zh-CN"/>
        </w:rPr>
        <w:t>“宁海教育”</w:t>
      </w:r>
      <w:r>
        <w:rPr>
          <w:rFonts w:hint="eastAsia"/>
          <w:color w:val="333333"/>
        </w:rPr>
        <w:t>微信</w:t>
      </w:r>
      <w:r>
        <w:rPr>
          <w:rFonts w:hint="eastAsia"/>
          <w:color w:val="333333"/>
          <w:lang w:eastAsia="zh-CN"/>
        </w:rPr>
        <w:t>公众号</w:t>
      </w:r>
      <w:r>
        <w:rPr>
          <w:rFonts w:hint="eastAsia"/>
          <w:color w:val="333333"/>
        </w:rPr>
        <w:t>公开政府信息数2</w:t>
      </w:r>
      <w:r>
        <w:rPr>
          <w:rFonts w:hint="eastAsia"/>
          <w:color w:val="333333"/>
          <w:lang w:val="en-US" w:eastAsia="zh-CN"/>
        </w:rPr>
        <w:t>42</w:t>
      </w:r>
      <w:r>
        <w:rPr>
          <w:rFonts w:hint="eastAsia"/>
          <w:color w:val="333333"/>
        </w:rPr>
        <w:t>条；其他</w:t>
      </w:r>
      <w:r>
        <w:rPr>
          <w:rFonts w:hint="eastAsia"/>
          <w:color w:val="333333"/>
          <w:lang w:eastAsia="zh-CN"/>
        </w:rPr>
        <w:t>方式公开政府</w:t>
      </w:r>
      <w:r>
        <w:rPr>
          <w:rFonts w:hint="eastAsia"/>
          <w:color w:val="333333"/>
        </w:rPr>
        <w:t>信息</w:t>
      </w:r>
      <w:r>
        <w:rPr>
          <w:rFonts w:hint="eastAsia"/>
          <w:color w:val="333333"/>
          <w:lang w:val="en-US" w:eastAsia="zh-CN"/>
        </w:rPr>
        <w:t>15</w:t>
      </w:r>
      <w:r>
        <w:rPr>
          <w:rFonts w:hint="eastAsia"/>
          <w:color w:val="333333"/>
        </w:rPr>
        <w:t>条；回应公众关注热点或重大舆情数</w:t>
      </w:r>
      <w:r>
        <w:rPr>
          <w:rFonts w:hint="eastAsia"/>
          <w:color w:val="333333"/>
          <w:lang w:val="en-US" w:eastAsia="zh-CN"/>
        </w:rPr>
        <w:t>5次</w:t>
      </w:r>
      <w:r>
        <w:rPr>
          <w:rFonts w:hint="eastAsia"/>
          <w:color w:val="333333"/>
        </w:rPr>
        <w:t>，</w:t>
      </w:r>
    </w:p>
    <w:p>
      <w:pPr>
        <w:pStyle w:val="15"/>
        <w:spacing w:after="240" w:line="432" w:lineRule="atLeast"/>
        <w:ind w:firstLine="564" w:firstLineChars="235"/>
        <w:rPr>
          <w:rFonts w:hint="eastAsia"/>
          <w:color w:val="333333"/>
        </w:rPr>
      </w:pPr>
      <w:r>
        <w:rPr>
          <w:rFonts w:hint="eastAsia"/>
          <w:color w:val="333333"/>
        </w:rPr>
        <w:t>严格落实依申请公开规范办理机制，</w:t>
      </w:r>
      <w:r>
        <w:rPr>
          <w:rFonts w:hint="eastAsia"/>
          <w:color w:val="333333"/>
          <w:lang w:eastAsia="zh-CN"/>
        </w:rPr>
        <w:t>遵循</w:t>
      </w:r>
      <w:r>
        <w:rPr>
          <w:rFonts w:hint="eastAsia"/>
          <w:color w:val="333333"/>
        </w:rPr>
        <w:t>“3+N+X”机制</w:t>
      </w:r>
      <w:r>
        <w:rPr>
          <w:rFonts w:hint="eastAsia"/>
          <w:color w:val="333333"/>
          <w:lang w:eastAsia="zh-CN"/>
        </w:rPr>
        <w:t>，积极联合</w:t>
      </w:r>
      <w:r>
        <w:rPr>
          <w:rFonts w:hint="eastAsia"/>
          <w:color w:val="333333"/>
        </w:rPr>
        <w:t>县政府办公室、县人民法院</w:t>
      </w:r>
      <w:r>
        <w:rPr>
          <w:rFonts w:hint="eastAsia"/>
          <w:color w:val="333333"/>
          <w:lang w:eastAsia="zh-CN"/>
        </w:rPr>
        <w:t>和相关</w:t>
      </w:r>
      <w:r>
        <w:rPr>
          <w:rFonts w:hint="eastAsia"/>
          <w:color w:val="333333"/>
        </w:rPr>
        <w:t>部门以及法律顾问等组成专班，</w:t>
      </w:r>
      <w:r>
        <w:rPr>
          <w:rFonts w:hint="eastAsia"/>
          <w:color w:val="333333"/>
          <w:lang w:eastAsia="zh-CN"/>
        </w:rPr>
        <w:t>共同</w:t>
      </w:r>
      <w:r>
        <w:rPr>
          <w:rFonts w:hint="eastAsia"/>
          <w:color w:val="333333"/>
        </w:rPr>
        <w:t>沟通协调、研究会商等工作，有效预防和化解行政争议。</w:t>
      </w:r>
      <w:r>
        <w:rPr>
          <w:rFonts w:hint="eastAsia"/>
          <w:color w:val="333333"/>
          <w:lang w:val="en-US" w:eastAsia="zh-CN"/>
        </w:rPr>
        <w:t>2020年</w:t>
      </w:r>
      <w:r>
        <w:rPr>
          <w:rFonts w:hint="eastAsia"/>
          <w:color w:val="333333"/>
        </w:rPr>
        <w:t>共受理政府信息公开申请</w:t>
      </w:r>
      <w:r>
        <w:rPr>
          <w:rFonts w:hint="eastAsia"/>
          <w:color w:val="333333"/>
          <w:lang w:val="en-US" w:eastAsia="zh-CN"/>
        </w:rPr>
        <w:t>5</w:t>
      </w:r>
      <w:r>
        <w:rPr>
          <w:rFonts w:hint="eastAsia"/>
          <w:color w:val="333333"/>
        </w:rPr>
        <w:t>宗，</w:t>
      </w:r>
      <w:bookmarkStart w:id="0" w:name="_GoBack"/>
      <w:bookmarkEnd w:id="0"/>
      <w:r>
        <w:rPr>
          <w:rFonts w:hint="eastAsia"/>
          <w:color w:val="333333"/>
        </w:rPr>
        <w:t>已全部依法回复。</w:t>
      </w:r>
    </w:p>
    <w:p>
      <w:pPr>
        <w:pStyle w:val="15"/>
        <w:spacing w:before="0" w:after="240" w:line="432" w:lineRule="atLeast"/>
        <w:ind w:firstLine="420"/>
        <w:jc w:val="both"/>
        <w:rPr>
          <w:b/>
          <w:color w:val="333333"/>
        </w:rPr>
      </w:pPr>
      <w:r>
        <w:rPr>
          <w:rFonts w:hint="eastAsia"/>
          <w:b/>
          <w:color w:val="333333"/>
        </w:rPr>
        <w:t>二、主动公开政府信息情况</w:t>
      </w:r>
    </w:p>
    <w:tbl>
      <w:tblPr>
        <w:tblStyle w:val="17"/>
        <w:tblW w:w="6160" w:type="dxa"/>
        <w:jc w:val="center"/>
        <w:tblInd w:w="93" w:type="dxa"/>
        <w:tblLayout w:type="fixed"/>
        <w:tblCellMar>
          <w:top w:w="0" w:type="dxa"/>
          <w:left w:w="108" w:type="dxa"/>
          <w:bottom w:w="0" w:type="dxa"/>
          <w:right w:w="108" w:type="dxa"/>
        </w:tblCellMar>
      </w:tblPr>
      <w:tblGrid>
        <w:gridCol w:w="1612"/>
        <w:gridCol w:w="1592"/>
        <w:gridCol w:w="1478"/>
        <w:gridCol w:w="1478"/>
      </w:tblGrid>
      <w:tr>
        <w:tblPrEx>
          <w:tblLayout w:type="fixed"/>
          <w:tblCellMar>
            <w:top w:w="0" w:type="dxa"/>
            <w:left w:w="108" w:type="dxa"/>
            <w:bottom w:w="0" w:type="dxa"/>
            <w:right w:w="108" w:type="dxa"/>
          </w:tblCellMar>
        </w:tblPrEx>
        <w:trPr>
          <w:trHeight w:val="402" w:hRule="atLeast"/>
          <w:jc w:val="center"/>
        </w:trPr>
        <w:tc>
          <w:tcPr>
            <w:tcW w:w="6160" w:type="dxa"/>
            <w:gridSpan w:val="4"/>
            <w:tcBorders>
              <w:top w:val="single" w:color="auto" w:sz="4" w:space="0"/>
              <w:left w:val="single" w:color="auto" w:sz="4" w:space="0"/>
              <w:bottom w:val="single" w:color="auto" w:sz="4" w:space="0"/>
              <w:right w:val="single" w:color="auto" w:sz="4" w:space="0"/>
            </w:tcBorders>
            <w:shd w:val="clear" w:color="000000" w:fill="C6D9F1"/>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第二十条第（一）项</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信息内容</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本年新制作数量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本年新公开数量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对外公开总数量</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规章</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规范性文件</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r>
      <w:tr>
        <w:tblPrEx>
          <w:tblLayout w:type="fixed"/>
          <w:tblCellMar>
            <w:top w:w="0" w:type="dxa"/>
            <w:left w:w="108" w:type="dxa"/>
            <w:bottom w:w="0" w:type="dxa"/>
            <w:right w:w="108" w:type="dxa"/>
          </w:tblCellMar>
        </w:tblPrEx>
        <w:trPr>
          <w:trHeight w:val="402" w:hRule="atLeast"/>
          <w:jc w:val="center"/>
        </w:trPr>
        <w:tc>
          <w:tcPr>
            <w:tcW w:w="6160" w:type="dxa"/>
            <w:gridSpan w:val="4"/>
            <w:tcBorders>
              <w:top w:val="single" w:color="auto" w:sz="4" w:space="0"/>
              <w:left w:val="single" w:color="auto" w:sz="4" w:space="0"/>
              <w:bottom w:val="single" w:color="auto" w:sz="4" w:space="0"/>
              <w:right w:val="single" w:color="000000" w:sz="4" w:space="0"/>
            </w:tcBorders>
            <w:shd w:val="clear" w:color="000000" w:fill="C6D9F1"/>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第二十条第（五）项</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信息内容</w:t>
            </w:r>
          </w:p>
        </w:tc>
        <w:tc>
          <w:tcPr>
            <w:tcW w:w="1592"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上一年项目数量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本年增/减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处理决定数量</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行政许可</w:t>
            </w:r>
          </w:p>
        </w:tc>
        <w:tc>
          <w:tcPr>
            <w:tcW w:w="1592"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22</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hint="eastAsia" w:ascii="宋体" w:hAnsi="宋体" w:eastAsia="宋体" w:cs="宋体"/>
                <w:color w:val="000000"/>
                <w:sz w:val="20"/>
                <w:szCs w:val="20"/>
                <w:shd w:val="clear" w:color="auto" w:fill="auto"/>
                <w:lang w:eastAsia="zh-CN"/>
              </w:rPr>
            </w:pPr>
            <w:r>
              <w:rPr>
                <w:rFonts w:hint="eastAsia" w:ascii="宋体" w:hAnsi="宋体" w:eastAsia="宋体" w:cs="宋体"/>
                <w:color w:val="000000"/>
                <w:sz w:val="20"/>
                <w:szCs w:val="20"/>
                <w:shd w:val="clear" w:color="auto" w:fill="auto"/>
                <w:lang w:val="en-US" w:eastAsia="zh-CN"/>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hint="default" w:ascii="宋体" w:hAnsi="宋体" w:eastAsia="宋体" w:cs="宋体"/>
                <w:color w:val="000000"/>
                <w:sz w:val="20"/>
                <w:szCs w:val="20"/>
                <w:shd w:val="clear" w:color="auto" w:fill="auto"/>
                <w:lang w:val="en-US" w:eastAsia="zh-CN"/>
              </w:rPr>
            </w:pPr>
            <w:r>
              <w:rPr>
                <w:rFonts w:hint="eastAsia" w:ascii="宋体" w:hAnsi="宋体" w:eastAsia="宋体" w:cs="宋体"/>
                <w:color w:val="000000"/>
                <w:sz w:val="20"/>
                <w:szCs w:val="20"/>
                <w:shd w:val="clear" w:color="auto" w:fill="auto"/>
                <w:lang w:val="en-US" w:eastAsia="zh-CN"/>
              </w:rPr>
              <w:t>226</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其他对外管理服务事项</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hint="default" w:ascii="宋体" w:hAnsi="宋体" w:eastAsia="宋体" w:cs="宋体"/>
                <w:color w:val="000000"/>
                <w:sz w:val="20"/>
                <w:szCs w:val="20"/>
                <w:shd w:val="clear" w:color="auto" w:fill="auto"/>
                <w:lang w:val="en-US" w:eastAsia="zh-CN"/>
              </w:rPr>
            </w:pPr>
            <w:r>
              <w:rPr>
                <w:rFonts w:hint="eastAsia" w:ascii="宋体" w:hAnsi="宋体" w:eastAsia="宋体" w:cs="宋体"/>
                <w:color w:val="000000"/>
                <w:sz w:val="20"/>
                <w:szCs w:val="20"/>
                <w:shd w:val="clear" w:color="auto" w:fill="auto"/>
                <w:lang w:val="en-US" w:eastAsia="zh-CN"/>
              </w:rPr>
              <w:t>21</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hint="eastAsia" w:ascii="宋体" w:hAnsi="宋体" w:eastAsia="宋体" w:cs="宋体"/>
                <w:color w:val="000000"/>
                <w:sz w:val="20"/>
                <w:szCs w:val="20"/>
                <w:shd w:val="clear" w:color="auto" w:fill="auto"/>
                <w:lang w:eastAsia="zh-CN"/>
              </w:rPr>
            </w:pPr>
            <w:r>
              <w:rPr>
                <w:rFonts w:hint="eastAsia" w:ascii="宋体" w:hAnsi="宋体" w:eastAsia="宋体" w:cs="宋体"/>
                <w:color w:val="000000"/>
                <w:sz w:val="20"/>
                <w:szCs w:val="20"/>
                <w:shd w:val="clear" w:color="auto" w:fill="auto"/>
                <w:lang w:val="en-US" w:eastAsia="zh-CN"/>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hint="default" w:ascii="宋体" w:hAnsi="宋体" w:eastAsia="宋体" w:cs="宋体"/>
                <w:color w:val="000000"/>
                <w:sz w:val="20"/>
                <w:szCs w:val="20"/>
                <w:shd w:val="clear" w:color="auto" w:fill="auto"/>
                <w:lang w:val="en-US" w:eastAsia="zh-CN"/>
              </w:rPr>
            </w:pPr>
            <w:r>
              <w:rPr>
                <w:rFonts w:hint="eastAsia" w:ascii="宋体" w:hAnsi="宋体" w:eastAsia="宋体" w:cs="宋体"/>
                <w:color w:val="000000"/>
                <w:sz w:val="20"/>
                <w:szCs w:val="20"/>
                <w:shd w:val="clear" w:color="auto" w:fill="auto"/>
                <w:lang w:val="en-US" w:eastAsia="zh-CN"/>
              </w:rPr>
              <w:t>21862</w:t>
            </w:r>
          </w:p>
        </w:tc>
      </w:tr>
      <w:tr>
        <w:tblPrEx>
          <w:tblLayout w:type="fixed"/>
          <w:tblCellMar>
            <w:top w:w="0" w:type="dxa"/>
            <w:left w:w="108" w:type="dxa"/>
            <w:bottom w:w="0" w:type="dxa"/>
            <w:right w:w="108" w:type="dxa"/>
          </w:tblCellMar>
        </w:tblPrEx>
        <w:trPr>
          <w:trHeight w:val="402" w:hRule="atLeast"/>
          <w:jc w:val="center"/>
        </w:trPr>
        <w:tc>
          <w:tcPr>
            <w:tcW w:w="6160" w:type="dxa"/>
            <w:gridSpan w:val="4"/>
            <w:tcBorders>
              <w:top w:val="single" w:color="auto" w:sz="4" w:space="0"/>
              <w:left w:val="single" w:color="auto" w:sz="4" w:space="0"/>
              <w:bottom w:val="single" w:color="auto" w:sz="4" w:space="0"/>
              <w:right w:val="single" w:color="000000" w:sz="4" w:space="0"/>
            </w:tcBorders>
            <w:shd w:val="clear" w:color="000000" w:fill="C6D9F1"/>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第二十条第（六）项</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信息内容</w:t>
            </w:r>
          </w:p>
        </w:tc>
        <w:tc>
          <w:tcPr>
            <w:tcW w:w="1592"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上一年项目数量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本年增/减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处理决定数量</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行政处罚</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10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行政强制</w:t>
            </w:r>
          </w:p>
        </w:tc>
        <w:tc>
          <w:tcPr>
            <w:tcW w:w="1592"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r>
      <w:tr>
        <w:tblPrEx>
          <w:tblLayout w:type="fixed"/>
          <w:tblCellMar>
            <w:top w:w="0" w:type="dxa"/>
            <w:left w:w="108" w:type="dxa"/>
            <w:bottom w:w="0" w:type="dxa"/>
            <w:right w:w="108" w:type="dxa"/>
          </w:tblCellMar>
        </w:tblPrEx>
        <w:trPr>
          <w:trHeight w:val="402" w:hRule="atLeast"/>
          <w:jc w:val="center"/>
        </w:trPr>
        <w:tc>
          <w:tcPr>
            <w:tcW w:w="6160" w:type="dxa"/>
            <w:gridSpan w:val="4"/>
            <w:tcBorders>
              <w:top w:val="single" w:color="auto" w:sz="4" w:space="0"/>
              <w:left w:val="single" w:color="auto" w:sz="4" w:space="0"/>
              <w:bottom w:val="single" w:color="auto" w:sz="4" w:space="0"/>
              <w:right w:val="single" w:color="000000" w:sz="4" w:space="0"/>
            </w:tcBorders>
            <w:shd w:val="clear" w:color="000000" w:fill="C6D9F1"/>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第二十条第（八）项</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信息内容</w:t>
            </w:r>
          </w:p>
        </w:tc>
        <w:tc>
          <w:tcPr>
            <w:tcW w:w="3070" w:type="dxa"/>
            <w:gridSpan w:val="2"/>
            <w:tcBorders>
              <w:top w:val="single" w:color="auto" w:sz="4" w:space="0"/>
              <w:left w:val="nil"/>
              <w:bottom w:val="single" w:color="auto" w:sz="4" w:space="0"/>
              <w:right w:val="single" w:color="000000"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上一年项目数量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本年增/减</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行政事业性收费</w:t>
            </w:r>
          </w:p>
        </w:tc>
        <w:tc>
          <w:tcPr>
            <w:tcW w:w="3070" w:type="dxa"/>
            <w:gridSpan w:val="2"/>
            <w:tcBorders>
              <w:top w:val="single" w:color="auto" w:sz="4" w:space="0"/>
              <w:left w:val="nil"/>
              <w:bottom w:val="single" w:color="auto" w:sz="4" w:space="0"/>
              <w:right w:val="single" w:color="000000"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0</w:t>
            </w:r>
          </w:p>
        </w:tc>
      </w:tr>
      <w:tr>
        <w:tblPrEx>
          <w:tblLayout w:type="fixed"/>
          <w:tblCellMar>
            <w:top w:w="0" w:type="dxa"/>
            <w:left w:w="108" w:type="dxa"/>
            <w:bottom w:w="0" w:type="dxa"/>
            <w:right w:w="108" w:type="dxa"/>
          </w:tblCellMar>
        </w:tblPrEx>
        <w:trPr>
          <w:trHeight w:val="402" w:hRule="atLeast"/>
          <w:jc w:val="center"/>
        </w:trPr>
        <w:tc>
          <w:tcPr>
            <w:tcW w:w="6160" w:type="dxa"/>
            <w:gridSpan w:val="4"/>
            <w:tcBorders>
              <w:top w:val="single" w:color="auto" w:sz="4" w:space="0"/>
              <w:left w:val="single" w:color="auto" w:sz="4" w:space="0"/>
              <w:bottom w:val="single" w:color="auto" w:sz="4" w:space="0"/>
              <w:right w:val="single" w:color="000000" w:sz="4" w:space="0"/>
            </w:tcBorders>
            <w:shd w:val="clear" w:color="000000" w:fill="C6D9F1"/>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第二十条第（九）项</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信息内容</w:t>
            </w:r>
          </w:p>
        </w:tc>
        <w:tc>
          <w:tcPr>
            <w:tcW w:w="3070" w:type="dxa"/>
            <w:gridSpan w:val="2"/>
            <w:tcBorders>
              <w:top w:val="single" w:color="auto" w:sz="4" w:space="0"/>
              <w:left w:val="nil"/>
              <w:bottom w:val="single" w:color="auto" w:sz="4" w:space="0"/>
              <w:right w:val="single" w:color="000000"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采购项目数量</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采购总金额</w:t>
            </w:r>
          </w:p>
        </w:tc>
      </w:tr>
      <w:tr>
        <w:tblPrEx>
          <w:tblLayout w:type="fixed"/>
          <w:tblCellMar>
            <w:top w:w="0" w:type="dxa"/>
            <w:left w:w="108" w:type="dxa"/>
            <w:bottom w:w="0" w:type="dxa"/>
            <w:right w:w="108" w:type="dxa"/>
          </w:tblCellMar>
        </w:tblPrEx>
        <w:trPr>
          <w:trHeight w:val="402" w:hRule="atLeast"/>
          <w:jc w:val="center"/>
        </w:trPr>
        <w:tc>
          <w:tcPr>
            <w:tcW w:w="1612"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rPr>
              <w:t>政府集中采购</w:t>
            </w:r>
          </w:p>
        </w:tc>
        <w:tc>
          <w:tcPr>
            <w:tcW w:w="3070" w:type="dxa"/>
            <w:gridSpan w:val="2"/>
            <w:tcBorders>
              <w:top w:val="single" w:color="auto" w:sz="4" w:space="0"/>
              <w:left w:val="nil"/>
              <w:bottom w:val="single" w:color="auto" w:sz="4" w:space="0"/>
              <w:right w:val="single" w:color="auto" w:sz="4" w:space="0"/>
            </w:tcBorders>
            <w:shd w:val="clear" w:color="auto" w:fill="auto"/>
            <w:noWrap/>
            <w:vAlign w:val="center"/>
          </w:tcPr>
          <w:p>
            <w:pPr>
              <w:ind w:firstLine="0"/>
              <w:jc w:val="center"/>
              <w:rPr>
                <w:rFonts w:hint="default" w:ascii="宋体" w:hAnsi="宋体" w:eastAsia="宋体" w:cs="宋体"/>
                <w:color w:val="000000"/>
                <w:sz w:val="20"/>
                <w:szCs w:val="20"/>
                <w:shd w:val="clear" w:color="auto" w:fill="auto"/>
                <w:lang w:val="en-US" w:eastAsia="zh-CN"/>
              </w:rPr>
            </w:pPr>
            <w:r>
              <w:rPr>
                <w:rFonts w:hint="eastAsia" w:ascii="宋体" w:hAnsi="宋体" w:eastAsia="宋体" w:cs="宋体"/>
                <w:color w:val="000000"/>
                <w:sz w:val="20"/>
                <w:szCs w:val="20"/>
                <w:shd w:val="clear" w:color="auto" w:fill="auto"/>
                <w:lang w:val="en-US" w:eastAsia="zh-CN"/>
              </w:rPr>
              <w:t>61</w:t>
            </w:r>
          </w:p>
        </w:tc>
        <w:tc>
          <w:tcPr>
            <w:tcW w:w="1478" w:type="dxa"/>
            <w:tcBorders>
              <w:top w:val="nil"/>
              <w:left w:val="nil"/>
              <w:bottom w:val="single" w:color="auto" w:sz="4" w:space="0"/>
              <w:right w:val="single" w:color="auto" w:sz="4" w:space="0"/>
            </w:tcBorders>
            <w:shd w:val="clear" w:color="auto" w:fill="auto"/>
            <w:noWrap/>
            <w:vAlign w:val="center"/>
          </w:tcPr>
          <w:p>
            <w:pPr>
              <w:ind w:firstLine="0"/>
              <w:jc w:val="center"/>
              <w:rPr>
                <w:rFonts w:ascii="宋体" w:hAnsi="宋体" w:eastAsia="宋体" w:cs="宋体"/>
                <w:color w:val="000000"/>
                <w:sz w:val="20"/>
                <w:szCs w:val="20"/>
                <w:shd w:val="clear" w:color="auto" w:fill="auto"/>
              </w:rPr>
            </w:pPr>
            <w:r>
              <w:rPr>
                <w:rFonts w:hint="eastAsia" w:ascii="宋体" w:hAnsi="宋体" w:eastAsia="宋体" w:cs="宋体"/>
                <w:color w:val="000000"/>
                <w:sz w:val="20"/>
                <w:szCs w:val="20"/>
                <w:shd w:val="clear" w:color="auto" w:fill="auto"/>
                <w:lang w:val="en-US" w:eastAsia="zh-CN"/>
              </w:rPr>
              <w:t>10818.22</w:t>
            </w:r>
            <w:r>
              <w:rPr>
                <w:rFonts w:hint="eastAsia" w:ascii="宋体" w:hAnsi="宋体" w:eastAsia="宋体" w:cs="宋体"/>
                <w:color w:val="000000"/>
                <w:sz w:val="20"/>
                <w:szCs w:val="20"/>
                <w:shd w:val="clear" w:color="auto" w:fill="auto"/>
              </w:rPr>
              <w:t>（万）</w:t>
            </w:r>
          </w:p>
        </w:tc>
      </w:tr>
    </w:tbl>
    <w:p>
      <w:pPr>
        <w:pStyle w:val="15"/>
        <w:spacing w:before="0" w:after="240" w:line="432" w:lineRule="atLeast"/>
        <w:ind w:firstLine="420"/>
        <w:jc w:val="both"/>
        <w:rPr>
          <w:b/>
          <w:color w:val="333333"/>
        </w:rPr>
      </w:pPr>
      <w:r>
        <w:rPr>
          <w:rFonts w:hint="eastAsia"/>
          <w:b/>
          <w:color w:val="333333"/>
        </w:rPr>
        <w:t>三、收到和处理政府信息公开申请情况</w:t>
      </w:r>
    </w:p>
    <w:tbl>
      <w:tblPr>
        <w:tblStyle w:val="17"/>
        <w:tblW w:w="7820" w:type="dxa"/>
        <w:jc w:val="center"/>
        <w:tblInd w:w="93" w:type="dxa"/>
        <w:tblLayout w:type="fixed"/>
        <w:tblCellMar>
          <w:top w:w="0" w:type="dxa"/>
          <w:left w:w="108" w:type="dxa"/>
          <w:bottom w:w="0" w:type="dxa"/>
          <w:right w:w="108" w:type="dxa"/>
        </w:tblCellMar>
      </w:tblPr>
      <w:tblGrid>
        <w:gridCol w:w="616"/>
        <w:gridCol w:w="816"/>
        <w:gridCol w:w="2507"/>
        <w:gridCol w:w="513"/>
        <w:gridCol w:w="530"/>
        <w:gridCol w:w="548"/>
        <w:gridCol w:w="649"/>
        <w:gridCol w:w="649"/>
        <w:gridCol w:w="496"/>
        <w:gridCol w:w="496"/>
      </w:tblGrid>
      <w:tr>
        <w:tblPrEx>
          <w:tblLayout w:type="fixed"/>
          <w:tblCellMar>
            <w:top w:w="0" w:type="dxa"/>
            <w:left w:w="108" w:type="dxa"/>
            <w:bottom w:w="0" w:type="dxa"/>
            <w:right w:w="108" w:type="dxa"/>
          </w:tblCellMar>
        </w:tblPrEx>
        <w:trPr>
          <w:trHeight w:val="345" w:hRule="atLeast"/>
          <w:jc w:val="center"/>
        </w:trPr>
        <w:tc>
          <w:tcPr>
            <w:tcW w:w="3939" w:type="dxa"/>
            <w:gridSpan w:val="3"/>
            <w:vMerge w:val="restart"/>
            <w:tcBorders>
              <w:top w:val="single" w:color="auto" w:sz="4" w:space="0"/>
              <w:left w:val="single" w:color="auto" w:sz="4" w:space="0"/>
              <w:bottom w:val="single" w:color="000000" w:sz="4" w:space="0"/>
              <w:right w:val="single" w:color="000000"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（本列数据的勾稽关系为：第一项加第二项之和，等于第三项加第四项之和）</w:t>
            </w:r>
          </w:p>
        </w:tc>
        <w:tc>
          <w:tcPr>
            <w:tcW w:w="3881" w:type="dxa"/>
            <w:gridSpan w:val="7"/>
            <w:tcBorders>
              <w:top w:val="single" w:color="auto" w:sz="4" w:space="0"/>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申请人情况</w:t>
            </w:r>
          </w:p>
        </w:tc>
      </w:tr>
      <w:tr>
        <w:tblPrEx>
          <w:tblLayout w:type="fixed"/>
          <w:tblCellMar>
            <w:top w:w="0" w:type="dxa"/>
            <w:left w:w="108" w:type="dxa"/>
            <w:bottom w:w="0" w:type="dxa"/>
            <w:right w:w="108" w:type="dxa"/>
          </w:tblCellMar>
        </w:tblPrEx>
        <w:trPr>
          <w:trHeight w:val="360" w:hRule="atLeast"/>
          <w:jc w:val="center"/>
        </w:trPr>
        <w:tc>
          <w:tcPr>
            <w:tcW w:w="3939" w:type="dxa"/>
            <w:gridSpan w:val="3"/>
            <w:vMerge w:val="continue"/>
            <w:tcBorders>
              <w:top w:val="single" w:color="auto" w:sz="4" w:space="0"/>
              <w:left w:val="single" w:color="auto" w:sz="4" w:space="0"/>
              <w:bottom w:val="single" w:color="000000" w:sz="4" w:space="0"/>
              <w:right w:val="single" w:color="000000" w:sz="4" w:space="0"/>
            </w:tcBorders>
            <w:vAlign w:val="center"/>
          </w:tcPr>
          <w:p>
            <w:pPr>
              <w:ind w:firstLine="0"/>
              <w:rPr>
                <w:rFonts w:ascii="宋体" w:hAnsi="宋体" w:eastAsia="宋体" w:cs="宋体"/>
                <w:color w:val="000000"/>
                <w:sz w:val="20"/>
                <w:szCs w:val="20"/>
              </w:rPr>
            </w:pPr>
          </w:p>
        </w:tc>
        <w:tc>
          <w:tcPr>
            <w:tcW w:w="513" w:type="dxa"/>
            <w:vMerge w:val="restart"/>
            <w:tcBorders>
              <w:top w:val="nil"/>
              <w:left w:val="single" w:color="auto" w:sz="4" w:space="0"/>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自然人</w:t>
            </w:r>
          </w:p>
        </w:tc>
        <w:tc>
          <w:tcPr>
            <w:tcW w:w="2872" w:type="dxa"/>
            <w:gridSpan w:val="5"/>
            <w:tcBorders>
              <w:top w:val="single" w:color="auto" w:sz="4" w:space="0"/>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法人或其他组织</w:t>
            </w:r>
          </w:p>
        </w:tc>
        <w:tc>
          <w:tcPr>
            <w:tcW w:w="496" w:type="dxa"/>
            <w:vMerge w:val="restart"/>
            <w:tcBorders>
              <w:top w:val="nil"/>
              <w:left w:val="single" w:color="auto" w:sz="4" w:space="0"/>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总计</w:t>
            </w:r>
          </w:p>
        </w:tc>
      </w:tr>
      <w:tr>
        <w:tblPrEx>
          <w:tblLayout w:type="fixed"/>
          <w:tblCellMar>
            <w:top w:w="0" w:type="dxa"/>
            <w:left w:w="108" w:type="dxa"/>
            <w:bottom w:w="0" w:type="dxa"/>
            <w:right w:w="108" w:type="dxa"/>
          </w:tblCellMar>
        </w:tblPrEx>
        <w:trPr>
          <w:trHeight w:val="615" w:hRule="atLeast"/>
          <w:jc w:val="center"/>
        </w:trPr>
        <w:tc>
          <w:tcPr>
            <w:tcW w:w="3939" w:type="dxa"/>
            <w:gridSpan w:val="3"/>
            <w:vMerge w:val="continue"/>
            <w:tcBorders>
              <w:top w:val="single" w:color="auto" w:sz="4" w:space="0"/>
              <w:left w:val="single" w:color="auto" w:sz="4" w:space="0"/>
              <w:bottom w:val="single" w:color="000000" w:sz="4" w:space="0"/>
              <w:right w:val="single" w:color="000000" w:sz="4" w:space="0"/>
            </w:tcBorders>
            <w:vAlign w:val="center"/>
          </w:tcPr>
          <w:p>
            <w:pPr>
              <w:ind w:firstLine="0"/>
              <w:rPr>
                <w:rFonts w:ascii="宋体" w:hAnsi="宋体" w:eastAsia="宋体" w:cs="宋体"/>
                <w:color w:val="000000"/>
                <w:sz w:val="20"/>
                <w:szCs w:val="20"/>
              </w:rPr>
            </w:pPr>
          </w:p>
        </w:tc>
        <w:tc>
          <w:tcPr>
            <w:tcW w:w="513"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530" w:type="dxa"/>
            <w:tcBorders>
              <w:top w:val="nil"/>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商业企业</w:t>
            </w:r>
          </w:p>
        </w:tc>
        <w:tc>
          <w:tcPr>
            <w:tcW w:w="548" w:type="dxa"/>
            <w:tcBorders>
              <w:top w:val="nil"/>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科研机构</w:t>
            </w:r>
          </w:p>
        </w:tc>
        <w:tc>
          <w:tcPr>
            <w:tcW w:w="649" w:type="dxa"/>
            <w:tcBorders>
              <w:top w:val="nil"/>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社会公益组织</w:t>
            </w:r>
          </w:p>
        </w:tc>
        <w:tc>
          <w:tcPr>
            <w:tcW w:w="649" w:type="dxa"/>
            <w:tcBorders>
              <w:top w:val="nil"/>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法律服务机构</w:t>
            </w:r>
          </w:p>
        </w:tc>
        <w:tc>
          <w:tcPr>
            <w:tcW w:w="496" w:type="dxa"/>
            <w:tcBorders>
              <w:top w:val="nil"/>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其他</w:t>
            </w:r>
          </w:p>
        </w:tc>
        <w:tc>
          <w:tcPr>
            <w:tcW w:w="49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02" w:hRule="atLeast"/>
          <w:jc w:val="center"/>
        </w:trPr>
        <w:tc>
          <w:tcPr>
            <w:tcW w:w="39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rFonts w:ascii="宋体" w:hAnsi="宋体" w:eastAsia="宋体" w:cs="宋体"/>
                <w:color w:val="000000"/>
                <w:sz w:val="20"/>
                <w:szCs w:val="20"/>
              </w:rPr>
            </w:pPr>
            <w:r>
              <w:rPr>
                <w:rFonts w:hint="eastAsia" w:ascii="宋体" w:hAnsi="宋体" w:eastAsia="宋体" w:cs="宋体"/>
                <w:color w:val="000000"/>
                <w:sz w:val="20"/>
                <w:szCs w:val="20"/>
              </w:rPr>
              <w:t>一、本年新收政府信息公开申请数量</w:t>
            </w:r>
          </w:p>
        </w:tc>
        <w:tc>
          <w:tcPr>
            <w:tcW w:w="513" w:type="dxa"/>
            <w:tcBorders>
              <w:top w:val="nil"/>
              <w:left w:val="nil"/>
              <w:bottom w:val="single" w:color="auto" w:sz="4" w:space="0"/>
              <w:right w:val="single" w:color="auto" w:sz="4" w:space="0"/>
            </w:tcBorders>
            <w:shd w:val="clear" w:color="auto" w:fill="auto"/>
            <w:vAlign w:val="center"/>
          </w:tcPr>
          <w:p>
            <w:pPr>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5</w:t>
            </w:r>
          </w:p>
        </w:tc>
        <w:tc>
          <w:tcPr>
            <w:tcW w:w="530"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5</w:t>
            </w:r>
          </w:p>
        </w:tc>
      </w:tr>
      <w:tr>
        <w:tblPrEx>
          <w:tblLayout w:type="fixed"/>
          <w:tblCellMar>
            <w:top w:w="0" w:type="dxa"/>
            <w:left w:w="108" w:type="dxa"/>
            <w:bottom w:w="0" w:type="dxa"/>
            <w:right w:w="108" w:type="dxa"/>
          </w:tblCellMar>
        </w:tblPrEx>
        <w:trPr>
          <w:trHeight w:val="402" w:hRule="atLeast"/>
          <w:jc w:val="center"/>
        </w:trPr>
        <w:tc>
          <w:tcPr>
            <w:tcW w:w="39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rFonts w:ascii="宋体" w:hAnsi="宋体" w:eastAsia="宋体" w:cs="宋体"/>
                <w:color w:val="000000"/>
                <w:sz w:val="20"/>
                <w:szCs w:val="20"/>
              </w:rPr>
            </w:pPr>
            <w:r>
              <w:rPr>
                <w:rFonts w:hint="eastAsia" w:ascii="宋体" w:hAnsi="宋体" w:eastAsia="宋体" w:cs="宋体"/>
                <w:color w:val="000000"/>
                <w:sz w:val="20"/>
                <w:szCs w:val="20"/>
              </w:rPr>
              <w:t>二、上年结转政府信息公开申请数量</w:t>
            </w:r>
          </w:p>
        </w:tc>
        <w:tc>
          <w:tcPr>
            <w:tcW w:w="513"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三、本年度办理结果</w:t>
            </w:r>
          </w:p>
        </w:tc>
        <w:tc>
          <w:tcPr>
            <w:tcW w:w="3323" w:type="dxa"/>
            <w:gridSpan w:val="2"/>
            <w:tcBorders>
              <w:top w:val="single" w:color="auto" w:sz="4" w:space="0"/>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（一）予以公开</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2</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2</w:t>
            </w:r>
          </w:p>
        </w:tc>
      </w:tr>
      <w:tr>
        <w:tblPrEx>
          <w:tblLayout w:type="fixed"/>
          <w:tblCellMar>
            <w:top w:w="0" w:type="dxa"/>
            <w:left w:w="108" w:type="dxa"/>
            <w:bottom w:w="0" w:type="dxa"/>
            <w:right w:w="108" w:type="dxa"/>
          </w:tblCellMar>
        </w:tblPrEx>
        <w:trPr>
          <w:trHeight w:val="61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3323"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（二）部分公开（区分处理的，只计这一情形，不计其他情形）</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0 </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（三）不予公开</w:t>
            </w: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1.属于国家秘密</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2.其他法律行政法规禁止公开</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3.危及“三安全一稳定”</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4.保护第三方合法权益</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5.属于三类内部事务信息</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6.属于四类过程性信息</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7.属于行政执法案卷</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8.属于行政查询事项</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（四）无法提供</w:t>
            </w: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1.本机关不掌握相关政府信息</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2</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2.没有现成信息需要另行制作</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3.补正后申请内容仍不明确</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（五）不予处理</w:t>
            </w: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1.信访举报投诉类申请</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2.重复申请</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3.要求提供公开出版物</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4.无正当理由大量反复申请</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0 </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5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816" w:type="dxa"/>
            <w:vMerge w:val="continue"/>
            <w:tcBorders>
              <w:top w:val="nil"/>
              <w:left w:val="single" w:color="auto" w:sz="4" w:space="0"/>
              <w:bottom w:val="single" w:color="auto" w:sz="4" w:space="0"/>
              <w:right w:val="single" w:color="auto" w:sz="4" w:space="0"/>
            </w:tcBorders>
            <w:vAlign w:val="center"/>
          </w:tcPr>
          <w:p>
            <w:pPr>
              <w:spacing w:line="240" w:lineRule="atLeast"/>
              <w:ind w:firstLine="0"/>
              <w:rPr>
                <w:rFonts w:ascii="楷体" w:hAnsi="楷体" w:eastAsia="楷体" w:cs="宋体"/>
                <w:color w:val="000000"/>
                <w:sz w:val="20"/>
                <w:szCs w:val="20"/>
              </w:rPr>
            </w:pPr>
          </w:p>
        </w:tc>
        <w:tc>
          <w:tcPr>
            <w:tcW w:w="2507" w:type="dxa"/>
            <w:tcBorders>
              <w:top w:val="nil"/>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5.要求行政机关确认或重新出具已获取信息</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0 </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3323" w:type="dxa"/>
            <w:gridSpan w:val="2"/>
            <w:tcBorders>
              <w:top w:val="single" w:color="auto" w:sz="4" w:space="0"/>
              <w:left w:val="nil"/>
              <w:bottom w:val="single" w:color="auto" w:sz="4" w:space="0"/>
              <w:right w:val="single" w:color="auto" w:sz="4" w:space="0"/>
            </w:tcBorders>
            <w:shd w:val="clear" w:color="000000" w:fill="AFCDEF"/>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（六）其他处理</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1</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3323"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tLeast"/>
              <w:ind w:firstLine="0"/>
              <w:rPr>
                <w:rFonts w:ascii="楷体" w:hAnsi="楷体" w:eastAsia="楷体" w:cs="宋体"/>
                <w:color w:val="000000"/>
                <w:sz w:val="20"/>
                <w:szCs w:val="20"/>
              </w:rPr>
            </w:pPr>
            <w:r>
              <w:rPr>
                <w:rFonts w:hint="eastAsia" w:ascii="楷体" w:hAnsi="楷体" w:eastAsia="楷体" w:cs="宋体"/>
                <w:color w:val="000000"/>
                <w:sz w:val="20"/>
                <w:szCs w:val="20"/>
              </w:rPr>
              <w:t>（七）总计</w:t>
            </w:r>
          </w:p>
        </w:tc>
        <w:tc>
          <w:tcPr>
            <w:tcW w:w="513"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5</w:t>
            </w:r>
          </w:p>
        </w:tc>
        <w:tc>
          <w:tcPr>
            <w:tcW w:w="530"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auto" w:fill="auto"/>
            <w:vAlign w:val="center"/>
          </w:tcPr>
          <w:p>
            <w:pPr>
              <w:spacing w:line="240" w:lineRule="atLeast"/>
              <w:ind w:firstLine="0"/>
              <w:jc w:val="center"/>
              <w:rPr>
                <w:rFonts w:hint="eastAsia" w:ascii="Arial Narrow" w:hAnsi="Arial Narrow" w:eastAsia="宋体" w:cs="宋体"/>
                <w:color w:val="000000"/>
                <w:sz w:val="20"/>
                <w:szCs w:val="20"/>
                <w:lang w:eastAsia="zh-CN"/>
              </w:rPr>
            </w:pPr>
            <w:r>
              <w:rPr>
                <w:rFonts w:hint="eastAsia" w:ascii="Arial Narrow" w:hAnsi="Arial Narrow" w:eastAsia="宋体" w:cs="宋体"/>
                <w:color w:val="000000"/>
                <w:sz w:val="20"/>
                <w:szCs w:val="20"/>
                <w:lang w:val="en-US" w:eastAsia="zh-CN"/>
              </w:rPr>
              <w:t>5</w:t>
            </w:r>
          </w:p>
        </w:tc>
      </w:tr>
      <w:tr>
        <w:tblPrEx>
          <w:tblLayout w:type="fixed"/>
          <w:tblCellMar>
            <w:top w:w="0" w:type="dxa"/>
            <w:left w:w="108" w:type="dxa"/>
            <w:bottom w:w="0" w:type="dxa"/>
            <w:right w:w="108" w:type="dxa"/>
          </w:tblCellMar>
        </w:tblPrEx>
        <w:trPr>
          <w:trHeight w:val="402" w:hRule="atLeast"/>
          <w:jc w:val="center"/>
        </w:trPr>
        <w:tc>
          <w:tcPr>
            <w:tcW w:w="3939" w:type="dxa"/>
            <w:gridSpan w:val="3"/>
            <w:tcBorders>
              <w:top w:val="single" w:color="auto" w:sz="4" w:space="0"/>
              <w:left w:val="single" w:color="auto" w:sz="4" w:space="0"/>
              <w:bottom w:val="single" w:color="auto" w:sz="4" w:space="0"/>
              <w:right w:val="single" w:color="auto" w:sz="4" w:space="0"/>
            </w:tcBorders>
            <w:shd w:val="clear" w:color="000000" w:fill="AFCDEF"/>
            <w:vAlign w:val="center"/>
          </w:tcPr>
          <w:p>
            <w:pPr>
              <w:spacing w:line="240" w:lineRule="atLeast"/>
              <w:ind w:firstLine="0"/>
              <w:rPr>
                <w:rFonts w:ascii="宋体" w:hAnsi="宋体" w:eastAsia="宋体" w:cs="宋体"/>
                <w:color w:val="000000"/>
                <w:sz w:val="20"/>
                <w:szCs w:val="20"/>
              </w:rPr>
            </w:pPr>
            <w:r>
              <w:rPr>
                <w:rFonts w:hint="eastAsia" w:ascii="宋体" w:hAnsi="宋体" w:eastAsia="宋体" w:cs="宋体"/>
                <w:color w:val="000000"/>
                <w:sz w:val="20"/>
                <w:szCs w:val="20"/>
              </w:rPr>
              <w:t>四、结转下年度继续办理</w:t>
            </w:r>
          </w:p>
        </w:tc>
        <w:tc>
          <w:tcPr>
            <w:tcW w:w="513"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30"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548"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0 </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649"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c>
          <w:tcPr>
            <w:tcW w:w="496" w:type="dxa"/>
            <w:tcBorders>
              <w:top w:val="nil"/>
              <w:left w:val="nil"/>
              <w:bottom w:val="single" w:color="auto" w:sz="4" w:space="0"/>
              <w:right w:val="single" w:color="auto" w:sz="4" w:space="0"/>
            </w:tcBorders>
            <w:shd w:val="clear" w:color="000000" w:fill="AFCDEF"/>
            <w:vAlign w:val="center"/>
          </w:tcPr>
          <w:p>
            <w:pPr>
              <w:spacing w:line="240" w:lineRule="atLeast"/>
              <w:ind w:firstLine="0"/>
              <w:jc w:val="center"/>
              <w:rPr>
                <w:rFonts w:ascii="Arial Narrow" w:hAnsi="Arial Narrow" w:eastAsia="宋体" w:cs="宋体"/>
                <w:color w:val="000000"/>
                <w:sz w:val="20"/>
                <w:szCs w:val="20"/>
              </w:rPr>
            </w:pPr>
            <w:r>
              <w:rPr>
                <w:rFonts w:ascii="Arial Narrow" w:hAnsi="Arial Narrow" w:eastAsia="宋体" w:cs="宋体"/>
                <w:color w:val="000000"/>
                <w:sz w:val="20"/>
                <w:szCs w:val="20"/>
              </w:rPr>
              <w:t>0</w:t>
            </w:r>
          </w:p>
        </w:tc>
      </w:tr>
    </w:tbl>
    <w:p>
      <w:pPr>
        <w:pStyle w:val="15"/>
        <w:spacing w:before="0" w:after="0" w:line="432" w:lineRule="atLeast"/>
        <w:ind w:firstLine="420"/>
        <w:jc w:val="both"/>
      </w:pPr>
    </w:p>
    <w:p>
      <w:pPr>
        <w:pStyle w:val="15"/>
        <w:spacing w:before="0" w:after="0" w:line="432" w:lineRule="atLeast"/>
        <w:ind w:firstLine="420"/>
        <w:jc w:val="both"/>
        <w:rPr>
          <w:b/>
          <w:color w:val="333333"/>
        </w:rPr>
      </w:pPr>
      <w:r>
        <w:rPr>
          <w:rFonts w:hint="eastAsia"/>
          <w:b/>
          <w:color w:val="333333"/>
        </w:rPr>
        <w:t>四、政府信息公开行政复议、行政诉讼情况</w:t>
      </w:r>
    </w:p>
    <w:tbl>
      <w:tblPr>
        <w:tblStyle w:val="17"/>
        <w:tblW w:w="6240" w:type="dxa"/>
        <w:jc w:val="center"/>
        <w:tblInd w:w="93" w:type="dxa"/>
        <w:tblLayout w:type="fixed"/>
        <w:tblCellMar>
          <w:top w:w="0" w:type="dxa"/>
          <w:left w:w="108" w:type="dxa"/>
          <w:bottom w:w="0" w:type="dxa"/>
          <w:right w:w="108" w:type="dxa"/>
        </w:tblCellMar>
      </w:tblPr>
      <w:tblGrid>
        <w:gridCol w:w="416"/>
        <w:gridCol w:w="416"/>
        <w:gridCol w:w="416"/>
        <w:gridCol w:w="416"/>
        <w:gridCol w:w="416"/>
        <w:gridCol w:w="416"/>
        <w:gridCol w:w="416"/>
        <w:gridCol w:w="416"/>
        <w:gridCol w:w="416"/>
        <w:gridCol w:w="416"/>
        <w:gridCol w:w="416"/>
        <w:gridCol w:w="416"/>
        <w:gridCol w:w="416"/>
        <w:gridCol w:w="416"/>
        <w:gridCol w:w="416"/>
      </w:tblGrid>
      <w:tr>
        <w:tblPrEx>
          <w:tblLayout w:type="fixed"/>
          <w:tblCellMar>
            <w:top w:w="0" w:type="dxa"/>
            <w:left w:w="108" w:type="dxa"/>
            <w:bottom w:w="0" w:type="dxa"/>
            <w:right w:w="108" w:type="dxa"/>
          </w:tblCellMar>
        </w:tblPrEx>
        <w:trPr>
          <w:trHeight w:val="402" w:hRule="atLeast"/>
          <w:jc w:val="center"/>
        </w:trPr>
        <w:tc>
          <w:tcPr>
            <w:tcW w:w="2080" w:type="dxa"/>
            <w:gridSpan w:val="5"/>
            <w:tcBorders>
              <w:top w:val="single" w:color="auto" w:sz="4" w:space="0"/>
              <w:left w:val="single" w:color="auto" w:sz="4" w:space="0"/>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行政复议</w:t>
            </w:r>
          </w:p>
        </w:tc>
        <w:tc>
          <w:tcPr>
            <w:tcW w:w="4160" w:type="dxa"/>
            <w:gridSpan w:val="10"/>
            <w:tcBorders>
              <w:top w:val="single" w:color="auto" w:sz="4" w:space="0"/>
              <w:left w:val="nil"/>
              <w:bottom w:val="single" w:color="auto" w:sz="4" w:space="0"/>
              <w:right w:val="single" w:color="auto" w:sz="4" w:space="0"/>
            </w:tcBorders>
            <w:shd w:val="clear" w:color="000000" w:fill="AFCDEF"/>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行政诉讼</w:t>
            </w:r>
          </w:p>
        </w:tc>
      </w:tr>
      <w:tr>
        <w:tblPrEx>
          <w:tblLayout w:type="fixed"/>
          <w:tblCellMar>
            <w:top w:w="0" w:type="dxa"/>
            <w:left w:w="108" w:type="dxa"/>
            <w:bottom w:w="0" w:type="dxa"/>
            <w:right w:w="108" w:type="dxa"/>
          </w:tblCellMar>
        </w:tblPrEx>
        <w:trPr>
          <w:trHeight w:val="402" w:hRule="atLeast"/>
          <w:jc w:val="center"/>
        </w:trPr>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结果维持</w:t>
            </w:r>
          </w:p>
        </w:tc>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结果纠正</w:t>
            </w:r>
          </w:p>
        </w:tc>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其他结果</w:t>
            </w:r>
          </w:p>
        </w:tc>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尚未审结</w:t>
            </w:r>
          </w:p>
        </w:tc>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总计</w:t>
            </w:r>
          </w:p>
        </w:tc>
        <w:tc>
          <w:tcPr>
            <w:tcW w:w="2080" w:type="dxa"/>
            <w:gridSpan w:val="5"/>
            <w:tcBorders>
              <w:top w:val="single" w:color="auto" w:sz="4" w:space="0"/>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未经复议直接起诉</w:t>
            </w:r>
          </w:p>
        </w:tc>
        <w:tc>
          <w:tcPr>
            <w:tcW w:w="2080" w:type="dxa"/>
            <w:gridSpan w:val="5"/>
            <w:tcBorders>
              <w:top w:val="single" w:color="auto" w:sz="4" w:space="0"/>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复议后起诉</w:t>
            </w:r>
          </w:p>
        </w:tc>
      </w:tr>
      <w:tr>
        <w:tblPrEx>
          <w:tblLayout w:type="fixed"/>
          <w:tblCellMar>
            <w:top w:w="0" w:type="dxa"/>
            <w:left w:w="108" w:type="dxa"/>
            <w:bottom w:w="0" w:type="dxa"/>
            <w:right w:w="108" w:type="dxa"/>
          </w:tblCellMar>
        </w:tblPrEx>
        <w:trPr>
          <w:trHeight w:val="1140" w:hRule="atLeast"/>
          <w:jc w:val="center"/>
        </w:trPr>
        <w:tc>
          <w:tcPr>
            <w:tcW w:w="4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ind w:firstLine="0"/>
              <w:rPr>
                <w:rFonts w:ascii="宋体" w:hAnsi="宋体" w:eastAsia="宋体" w:cs="宋体"/>
                <w:color w:val="000000"/>
                <w:sz w:val="20"/>
                <w:szCs w:val="20"/>
              </w:rPr>
            </w:pP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结果维持</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结果纠正</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其他结果</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尚未审结</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总计</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结果维持</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结果纠正</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其他结果</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尚未审结</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总计</w:t>
            </w:r>
          </w:p>
        </w:tc>
      </w:tr>
      <w:tr>
        <w:tblPrEx>
          <w:tblLayout w:type="fixed"/>
          <w:tblCellMar>
            <w:top w:w="0" w:type="dxa"/>
            <w:left w:w="108" w:type="dxa"/>
            <w:bottom w:w="0" w:type="dxa"/>
            <w:right w:w="108" w:type="dxa"/>
          </w:tblCellMar>
        </w:tblPrEx>
        <w:trPr>
          <w:trHeight w:val="402"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ind w:firstLine="0"/>
              <w:jc w:val="center"/>
              <w:rPr>
                <w:rFonts w:ascii="Calibri" w:hAnsi="Calibri" w:eastAsia="宋体" w:cs="Calibri"/>
                <w:color w:val="000000"/>
                <w:sz w:val="20"/>
                <w:szCs w:val="20"/>
              </w:rPr>
            </w:pPr>
            <w:r>
              <w:rPr>
                <w:rFonts w:ascii="Calibri" w:hAnsi="Calibri" w:eastAsia="宋体" w:cs="Calibri"/>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Calibri" w:hAnsi="Calibri" w:eastAsia="宋体" w:cs="Calibri"/>
                <w:color w:val="000000"/>
                <w:sz w:val="20"/>
                <w:szCs w:val="20"/>
              </w:rPr>
            </w:pPr>
            <w:r>
              <w:rPr>
                <w:rFonts w:ascii="Calibri" w:hAnsi="Calibri" w:eastAsia="宋体" w:cs="Calibri"/>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Calibri" w:hAnsi="Calibri" w:eastAsia="宋体" w:cs="Calibri"/>
                <w:color w:val="000000"/>
                <w:sz w:val="20"/>
                <w:szCs w:val="20"/>
              </w:rPr>
            </w:pPr>
            <w:r>
              <w:rPr>
                <w:rFonts w:ascii="Calibri" w:hAnsi="Calibri" w:eastAsia="宋体" w:cs="Calibri"/>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Calibri" w:hAnsi="Calibri" w:eastAsia="宋体" w:cs="Calibri"/>
                <w:color w:val="000000"/>
                <w:sz w:val="20"/>
                <w:szCs w:val="20"/>
              </w:rPr>
            </w:pPr>
            <w:r>
              <w:rPr>
                <w:rFonts w:ascii="Calibri" w:hAnsi="Calibri" w:eastAsia="宋体" w:cs="Calibri"/>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Calibri" w:hAnsi="Calibri" w:eastAsia="宋体" w:cs="Calibri"/>
                <w:color w:val="000000"/>
                <w:sz w:val="20"/>
                <w:szCs w:val="20"/>
              </w:rPr>
            </w:pPr>
            <w:r>
              <w:rPr>
                <w:rFonts w:ascii="Calibri" w:hAnsi="Calibri" w:eastAsia="宋体" w:cs="Calibri"/>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416" w:type="dxa"/>
            <w:tcBorders>
              <w:top w:val="nil"/>
              <w:left w:val="nil"/>
              <w:bottom w:val="single" w:color="auto" w:sz="4" w:space="0"/>
              <w:right w:val="single" w:color="auto" w:sz="4" w:space="0"/>
            </w:tcBorders>
            <w:shd w:val="clear" w:color="auto" w:fill="auto"/>
            <w:vAlign w:val="center"/>
          </w:tcPr>
          <w:p>
            <w:pPr>
              <w:ind w:firstLine="0"/>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r>
    </w:tbl>
    <w:p>
      <w:pPr>
        <w:pStyle w:val="15"/>
        <w:spacing w:before="0" w:after="0" w:line="432" w:lineRule="atLeast"/>
        <w:ind w:firstLine="420"/>
        <w:jc w:val="both"/>
        <w:rPr>
          <w:b/>
          <w:color w:val="333333"/>
        </w:rPr>
      </w:pPr>
    </w:p>
    <w:p>
      <w:pPr>
        <w:pStyle w:val="15"/>
        <w:spacing w:before="0" w:after="0" w:line="432" w:lineRule="atLeast"/>
        <w:ind w:firstLine="420"/>
        <w:jc w:val="both"/>
        <w:rPr>
          <w:b/>
          <w:color w:val="333333"/>
        </w:rPr>
      </w:pPr>
      <w:r>
        <w:rPr>
          <w:rFonts w:hint="eastAsia"/>
          <w:b/>
          <w:color w:val="333333"/>
        </w:rPr>
        <w:t>五、存在的主要问题及改进情况</w:t>
      </w:r>
    </w:p>
    <w:p>
      <w:pPr>
        <w:spacing w:line="560" w:lineRule="exact"/>
        <w:ind w:firstLine="480" w:firstLineChars="200"/>
        <w:rPr>
          <w:rFonts w:hint="eastAsia" w:ascii="Calibri" w:hAnsi="Calibri"/>
          <w:color w:val="333333"/>
          <w:sz w:val="24"/>
          <w:lang w:val="en-US" w:eastAsia="zh-CN"/>
        </w:rPr>
      </w:pPr>
      <w:r>
        <w:rPr>
          <w:rFonts w:hint="eastAsia" w:ascii="Calibri" w:hAnsi="Calibri"/>
          <w:color w:val="333333"/>
          <w:sz w:val="24"/>
          <w:lang w:val="en-US" w:eastAsia="zh-CN"/>
        </w:rPr>
        <w:t>一是信息公开范围不够全面，在民办学校、继续教育领域公开力度有待加强，在政策解读、意见征集板块的信息数有待提高；</w:t>
      </w:r>
    </w:p>
    <w:p>
      <w:pPr>
        <w:spacing w:line="560" w:lineRule="exact"/>
        <w:ind w:firstLine="480" w:firstLineChars="200"/>
        <w:rPr>
          <w:rFonts w:hint="eastAsia" w:ascii="Calibri" w:hAnsi="Calibri"/>
          <w:color w:val="333333"/>
          <w:sz w:val="24"/>
          <w:lang w:val="en-US" w:eastAsia="zh-CN"/>
        </w:rPr>
      </w:pPr>
      <w:r>
        <w:rPr>
          <w:rFonts w:hint="eastAsia" w:ascii="Calibri" w:hAnsi="Calibri"/>
          <w:color w:val="333333"/>
          <w:sz w:val="24"/>
          <w:lang w:val="en-US" w:eastAsia="zh-CN"/>
        </w:rPr>
        <w:t>二是政务信息的更新、录入还不够及时，政务信息公开还存在一定程度的滞后，影响政府信息公开的时效性。</w:t>
      </w:r>
    </w:p>
    <w:p>
      <w:pPr>
        <w:spacing w:line="560" w:lineRule="exact"/>
        <w:ind w:firstLine="480" w:firstLineChars="200"/>
        <w:rPr>
          <w:rFonts w:hint="eastAsia" w:ascii="Calibri" w:hAnsi="Calibri"/>
          <w:color w:val="333333"/>
          <w:sz w:val="24"/>
          <w:lang w:val="en-US" w:eastAsia="zh-CN"/>
        </w:rPr>
      </w:pPr>
      <w:r>
        <w:rPr>
          <w:rFonts w:hint="eastAsia" w:ascii="Calibri" w:hAnsi="Calibri"/>
          <w:color w:val="333333"/>
          <w:sz w:val="24"/>
          <w:lang w:val="en-US" w:eastAsia="zh-CN"/>
        </w:rPr>
        <w:t>针对上述问题，我局将进一步加强学习研究，提升业务水平。加强信息公开工作人员与机关各科室的联系沟通，切实提高全局上下对于政府信息依申请公开工作的思想认识，使教育领域信息公开工作精细化程度得以进一步提高。</w:t>
      </w:r>
    </w:p>
    <w:p>
      <w:pPr>
        <w:spacing w:line="560" w:lineRule="exact"/>
        <w:ind w:firstLine="480" w:firstLineChars="200"/>
        <w:rPr>
          <w:rFonts w:ascii="Calibri" w:hAnsi="Calibri"/>
          <w:color w:val="333333"/>
          <w:sz w:val="24"/>
        </w:rPr>
      </w:pPr>
      <w:r>
        <w:rPr>
          <w:rFonts w:hint="eastAsia" w:ascii="Calibri" w:hAnsi="Calibri"/>
          <w:color w:val="333333"/>
          <w:sz w:val="24"/>
        </w:rPr>
        <w:t>如对本报告有疑问，请与县教育局政府信息公开工作办公室联系（地址：宁海县跃龙街道人民路290号2楼204室；邮编：315056；电话：65259637）。</w:t>
      </w:r>
    </w:p>
    <w:p>
      <w:pPr>
        <w:rPr>
          <w:rFonts w:ascii="Calibri" w:hAnsi="Calibri"/>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
    <w:altName w:val="Arial Unicode MS"/>
    <w:panose1 w:val="00000000000000000000"/>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CC"/>
    <w:rsid w:val="00017BB2"/>
    <w:rsid w:val="00023CD3"/>
    <w:rsid w:val="00067BD1"/>
    <w:rsid w:val="00121DCC"/>
    <w:rsid w:val="0019028D"/>
    <w:rsid w:val="00270AE2"/>
    <w:rsid w:val="002C73AA"/>
    <w:rsid w:val="003901F3"/>
    <w:rsid w:val="0047662F"/>
    <w:rsid w:val="005055FD"/>
    <w:rsid w:val="0054562F"/>
    <w:rsid w:val="005C3EDE"/>
    <w:rsid w:val="006333C3"/>
    <w:rsid w:val="0065559C"/>
    <w:rsid w:val="006B2E8D"/>
    <w:rsid w:val="009F6E1B"/>
    <w:rsid w:val="00A74D2F"/>
    <w:rsid w:val="00E43A5A"/>
    <w:rsid w:val="00E537D2"/>
    <w:rsid w:val="00E66B08"/>
    <w:rsid w:val="00E958B5"/>
    <w:rsid w:val="00EF3870"/>
    <w:rsid w:val="00F43CD5"/>
    <w:rsid w:val="0261763B"/>
    <w:rsid w:val="06CB7865"/>
    <w:rsid w:val="0CD5367A"/>
    <w:rsid w:val="1E0A05A3"/>
    <w:rsid w:val="1F664C5A"/>
    <w:rsid w:val="20971202"/>
    <w:rsid w:val="28032EE9"/>
    <w:rsid w:val="28851F98"/>
    <w:rsid w:val="2B222A61"/>
    <w:rsid w:val="414715A9"/>
    <w:rsid w:val="4181630A"/>
    <w:rsid w:val="440E076F"/>
    <w:rsid w:val="47C03B6C"/>
    <w:rsid w:val="4FB541A4"/>
    <w:rsid w:val="521F7B6A"/>
    <w:rsid w:val="551B6B6B"/>
    <w:rsid w:val="585E608C"/>
    <w:rsid w:val="5DC5464C"/>
    <w:rsid w:val="67B864C6"/>
    <w:rsid w:val="7025234D"/>
    <w:rsid w:val="710C11F5"/>
    <w:rsid w:val="7241488E"/>
    <w:rsid w:val="726A4370"/>
    <w:rsid w:val="75A00633"/>
    <w:rsid w:val="7D042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pBdr>
        <w:bottom w:val="single" w:color="366091" w:themeColor="accent1" w:themeShade="BF" w:sz="12" w:space="1"/>
      </w:pBdr>
      <w:spacing w:before="600" w:after="80"/>
      <w:ind w:firstLine="0"/>
      <w:outlineLvl w:val="0"/>
    </w:pPr>
    <w:rPr>
      <w:rFonts w:asciiTheme="majorHAnsi" w:hAnsiTheme="majorHAnsi" w:eastAsiaTheme="majorEastAsia" w:cstheme="majorBidi"/>
      <w:b/>
      <w:bCs/>
      <w:color w:val="376092" w:themeColor="accent1" w:themeShade="BF"/>
      <w:sz w:val="24"/>
      <w:szCs w:val="24"/>
    </w:rPr>
  </w:style>
  <w:style w:type="paragraph" w:styleId="3">
    <w:name w:val="heading 2"/>
    <w:basedOn w:val="1"/>
    <w:next w:val="1"/>
    <w:link w:val="28"/>
    <w:semiHidden/>
    <w:unhideWhenUsed/>
    <w:qFormat/>
    <w:uiPriority w:val="9"/>
    <w:pPr>
      <w:pBdr>
        <w:bottom w:val="single" w:color="4F81BD" w:themeColor="accent1" w:sz="8" w:space="1"/>
      </w:pBdr>
      <w:spacing w:before="200" w:after="80"/>
      <w:ind w:firstLine="0"/>
      <w:outlineLvl w:val="1"/>
    </w:pPr>
    <w:rPr>
      <w:rFonts w:asciiTheme="majorHAnsi" w:hAnsiTheme="majorHAnsi" w:eastAsiaTheme="majorEastAsia" w:cstheme="majorBidi"/>
      <w:color w:val="376092" w:themeColor="accent1" w:themeShade="BF"/>
      <w:sz w:val="24"/>
      <w:szCs w:val="24"/>
    </w:rPr>
  </w:style>
  <w:style w:type="paragraph" w:styleId="4">
    <w:name w:val="heading 3"/>
    <w:basedOn w:val="1"/>
    <w:next w:val="1"/>
    <w:link w:val="29"/>
    <w:semiHidden/>
    <w:unhideWhenUsed/>
    <w:qFormat/>
    <w:uiPriority w:val="9"/>
    <w:pPr>
      <w:pBdr>
        <w:bottom w:val="single" w:color="95B3D7" w:themeColor="accent1" w:themeTint="99" w:sz="4" w:space="1"/>
      </w:pBdr>
      <w:spacing w:before="200" w:after="80"/>
      <w:ind w:firstLine="0"/>
      <w:outlineLvl w:val="2"/>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5">
    <w:name w:val="heading 4"/>
    <w:basedOn w:val="1"/>
    <w:next w:val="1"/>
    <w:link w:val="30"/>
    <w:semiHidden/>
    <w:unhideWhenUsed/>
    <w:qFormat/>
    <w:uiPriority w:val="9"/>
    <w:pPr>
      <w:pBdr>
        <w:bottom w:val="single" w:color="B8CCE4" w:themeColor="accent1" w:themeTint="66" w:sz="4" w:space="2"/>
      </w:pBdr>
      <w:spacing w:before="200" w:after="80"/>
      <w:ind w:firstLine="0"/>
      <w:outlineLvl w:val="3"/>
    </w:pPr>
    <w:rPr>
      <w:rFonts w:asciiTheme="majorHAnsi" w:hAnsiTheme="majorHAnsi" w:eastAsiaTheme="majorEastAsia" w:cstheme="majorBidi"/>
      <w:i/>
      <w:iCs/>
      <w:color w:val="4F81BD" w:themeColor="accent1"/>
      <w:sz w:val="24"/>
      <w:szCs w:val="24"/>
      <w14:textFill>
        <w14:solidFill>
          <w14:schemeClr w14:val="accent1"/>
        </w14:solidFill>
      </w14:textFill>
    </w:rPr>
  </w:style>
  <w:style w:type="paragraph" w:styleId="6">
    <w:name w:val="heading 5"/>
    <w:basedOn w:val="1"/>
    <w:next w:val="1"/>
    <w:link w:val="31"/>
    <w:semiHidden/>
    <w:unhideWhenUsed/>
    <w:qFormat/>
    <w:uiPriority w:val="9"/>
    <w:pPr>
      <w:spacing w:before="200" w:after="80"/>
      <w:ind w:firstLine="0"/>
      <w:outlineLvl w:val="4"/>
    </w:pPr>
    <w:rPr>
      <w:rFonts w:asciiTheme="majorHAnsi" w:hAnsiTheme="majorHAnsi" w:eastAsiaTheme="majorEastAsia" w:cstheme="majorBidi"/>
      <w:color w:val="4F81BD" w:themeColor="accent1"/>
      <w14:textFill>
        <w14:solidFill>
          <w14:schemeClr w14:val="accent1"/>
        </w14:solidFill>
      </w14:textFill>
    </w:rPr>
  </w:style>
  <w:style w:type="paragraph" w:styleId="7">
    <w:name w:val="heading 6"/>
    <w:basedOn w:val="1"/>
    <w:next w:val="1"/>
    <w:link w:val="32"/>
    <w:semiHidden/>
    <w:unhideWhenUsed/>
    <w:qFormat/>
    <w:uiPriority w:val="9"/>
    <w:pPr>
      <w:spacing w:before="280" w:after="100"/>
      <w:ind w:firstLine="0"/>
      <w:outlineLvl w:val="5"/>
    </w:pPr>
    <w:rPr>
      <w:rFonts w:asciiTheme="majorHAnsi" w:hAnsiTheme="majorHAnsi" w:eastAsiaTheme="majorEastAsia" w:cstheme="majorBidi"/>
      <w:i/>
      <w:iCs/>
      <w:color w:val="4F81BD" w:themeColor="accent1"/>
      <w14:textFill>
        <w14:solidFill>
          <w14:schemeClr w14:val="accent1"/>
        </w14:solidFill>
      </w14:textFill>
    </w:rPr>
  </w:style>
  <w:style w:type="paragraph" w:styleId="8">
    <w:name w:val="heading 7"/>
    <w:basedOn w:val="1"/>
    <w:next w:val="1"/>
    <w:link w:val="33"/>
    <w:semiHidden/>
    <w:unhideWhenUsed/>
    <w:qFormat/>
    <w:uiPriority w:val="9"/>
    <w:pPr>
      <w:spacing w:before="320" w:after="100"/>
      <w:ind w:firstLine="0"/>
      <w:outlineLvl w:val="6"/>
    </w:pPr>
    <w:rPr>
      <w:rFonts w:asciiTheme="majorHAnsi" w:hAnsiTheme="majorHAnsi" w:eastAsiaTheme="majorEastAsia" w:cstheme="majorBidi"/>
      <w:b/>
      <w:bCs/>
      <w:color w:val="9BBB59" w:themeColor="accent3"/>
      <w:sz w:val="20"/>
      <w:szCs w:val="20"/>
      <w14:textFill>
        <w14:solidFill>
          <w14:schemeClr w14:val="accent3"/>
        </w14:solidFill>
      </w14:textFill>
    </w:rPr>
  </w:style>
  <w:style w:type="paragraph" w:styleId="9">
    <w:name w:val="heading 8"/>
    <w:basedOn w:val="1"/>
    <w:next w:val="1"/>
    <w:link w:val="34"/>
    <w:semiHidden/>
    <w:unhideWhenUsed/>
    <w:qFormat/>
    <w:uiPriority w:val="9"/>
    <w:pPr>
      <w:spacing w:before="320" w:after="100"/>
      <w:ind w:firstLine="0"/>
      <w:outlineLvl w:val="7"/>
    </w:pPr>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paragraph" w:styleId="10">
    <w:name w:val="heading 9"/>
    <w:basedOn w:val="1"/>
    <w:next w:val="1"/>
    <w:link w:val="35"/>
    <w:semiHidden/>
    <w:unhideWhenUsed/>
    <w:qFormat/>
    <w:uiPriority w:val="9"/>
    <w:pPr>
      <w:spacing w:before="320" w:after="100"/>
      <w:ind w:firstLine="0"/>
      <w:outlineLvl w:val="8"/>
    </w:pPr>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default="1" w:styleId="18">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footer"/>
    <w:basedOn w:val="1"/>
    <w:link w:val="26"/>
    <w:unhideWhenUsed/>
    <w:qFormat/>
    <w:uiPriority w:val="99"/>
    <w:pPr>
      <w:tabs>
        <w:tab w:val="center" w:pos="4153"/>
        <w:tab w:val="right" w:pos="8306"/>
      </w:tabs>
      <w:snapToGrid w:val="0"/>
    </w:pPr>
    <w:rPr>
      <w:sz w:val="18"/>
      <w:szCs w:val="18"/>
    </w:rPr>
  </w:style>
  <w:style w:type="paragraph" w:styleId="13">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7"/>
    <w:qFormat/>
    <w:uiPriority w:val="11"/>
    <w:pPr>
      <w:spacing w:before="200" w:after="900"/>
      <w:ind w:firstLine="0"/>
      <w:jc w:val="right"/>
    </w:pPr>
    <w:rPr>
      <w:i/>
      <w:iCs/>
      <w:sz w:val="24"/>
      <w:szCs w:val="24"/>
    </w:rPr>
  </w:style>
  <w:style w:type="paragraph" w:styleId="15">
    <w:name w:val="Normal (Web)"/>
    <w:basedOn w:val="1"/>
    <w:qFormat/>
    <w:uiPriority w:val="99"/>
    <w:pPr>
      <w:spacing w:before="100" w:beforeAutospacing="1" w:after="100" w:afterAutospacing="1"/>
    </w:pPr>
    <w:rPr>
      <w:rFonts w:ascii="Calibri" w:hAnsi="Calibri"/>
      <w:sz w:val="24"/>
    </w:rPr>
  </w:style>
  <w:style w:type="paragraph" w:styleId="16">
    <w:name w:val="Title"/>
    <w:basedOn w:val="1"/>
    <w:next w:val="1"/>
    <w:link w:val="36"/>
    <w:qFormat/>
    <w:uiPriority w:val="10"/>
    <w:pPr>
      <w:pBdr>
        <w:top w:val="single" w:color="A7C0DE" w:themeColor="accent1" w:themeTint="7F" w:sz="8" w:space="10"/>
        <w:bottom w:val="single" w:color="9BBB59" w:themeColor="accent3" w:sz="24" w:space="15"/>
      </w:pBdr>
      <w:ind w:firstLine="0"/>
      <w:jc w:val="center"/>
    </w:pPr>
    <w:rPr>
      <w:rFonts w:asciiTheme="majorHAnsi" w:hAnsiTheme="majorHAnsi" w:eastAsiaTheme="majorEastAsia" w:cstheme="majorBidi"/>
      <w:i/>
      <w:iCs/>
      <w:color w:val="254061" w:themeColor="accent1" w:themeShade="80"/>
      <w:sz w:val="60"/>
      <w:szCs w:val="60"/>
    </w:rPr>
  </w:style>
  <w:style w:type="character" w:styleId="19">
    <w:name w:val="Strong"/>
    <w:basedOn w:val="18"/>
    <w:qFormat/>
    <w:uiPriority w:val="22"/>
    <w:rPr>
      <w:b/>
      <w:bCs/>
      <w:spacing w:val="0"/>
    </w:rPr>
  </w:style>
  <w:style w:type="character" w:styleId="20">
    <w:name w:val="FollowedHyperlink"/>
    <w:basedOn w:val="18"/>
    <w:semiHidden/>
    <w:unhideWhenUsed/>
    <w:uiPriority w:val="99"/>
    <w:rPr>
      <w:rFonts w:hint="eastAsia" w:ascii="微软雅黑" w:hAnsi="微软雅黑" w:eastAsia="微软雅黑" w:cs="微软雅黑"/>
      <w:color w:val="333333"/>
      <w:u w:val="none"/>
    </w:rPr>
  </w:style>
  <w:style w:type="character" w:styleId="21">
    <w:name w:val="Emphasis"/>
    <w:qFormat/>
    <w:uiPriority w:val="20"/>
    <w:rPr>
      <w:b/>
      <w:bCs/>
      <w:i/>
      <w:iCs/>
      <w:color w:val="595959" w:themeColor="text1" w:themeTint="A6"/>
      <w14:textFill>
        <w14:solidFill>
          <w14:schemeClr w14:val="tx1">
            <w14:lumMod w14:val="65000"/>
            <w14:lumOff w14:val="35000"/>
          </w14:schemeClr>
        </w14:solidFill>
      </w14:textFill>
    </w:rPr>
  </w:style>
  <w:style w:type="character" w:styleId="22">
    <w:name w:val="Hyperlink"/>
    <w:basedOn w:val="18"/>
    <w:semiHidden/>
    <w:unhideWhenUsed/>
    <w:uiPriority w:val="99"/>
    <w:rPr>
      <w:rFonts w:ascii="微软雅黑" w:hAnsi="微软雅黑" w:eastAsia="微软雅黑" w:cs="微软雅黑"/>
      <w:color w:val="333333"/>
      <w:u w:val="none"/>
    </w:rPr>
  </w:style>
  <w:style w:type="character" w:customStyle="1" w:styleId="23">
    <w:name w:val="正文 + 四号 Char"/>
    <w:basedOn w:val="18"/>
    <w:link w:val="24"/>
    <w:uiPriority w:val="0"/>
    <w:rPr>
      <w:rFonts w:ascii="仿宋_GB2312" w:hAnsi="宋体" w:eastAsia="仿宋_GB2312" w:cs="宋体"/>
      <w:szCs w:val="21"/>
    </w:rPr>
  </w:style>
  <w:style w:type="paragraph" w:customStyle="1" w:styleId="24">
    <w:name w:val="正文 + 仿宋_GB2312"/>
    <w:basedOn w:val="1"/>
    <w:link w:val="23"/>
    <w:uiPriority w:val="0"/>
    <w:pPr>
      <w:ind w:firstLine="420" w:firstLineChars="200"/>
    </w:pPr>
    <w:rPr>
      <w:rFonts w:ascii="仿宋_GB2312" w:hAnsi="宋体" w:eastAsia="仿宋_GB2312" w:cs="宋体"/>
      <w:szCs w:val="21"/>
    </w:rPr>
  </w:style>
  <w:style w:type="character" w:customStyle="1" w:styleId="25">
    <w:name w:val="页眉 Char"/>
    <w:basedOn w:val="18"/>
    <w:link w:val="13"/>
    <w:qFormat/>
    <w:uiPriority w:val="99"/>
    <w:rPr>
      <w:sz w:val="18"/>
      <w:szCs w:val="18"/>
    </w:rPr>
  </w:style>
  <w:style w:type="character" w:customStyle="1" w:styleId="26">
    <w:name w:val="页脚 Char"/>
    <w:basedOn w:val="18"/>
    <w:link w:val="12"/>
    <w:qFormat/>
    <w:uiPriority w:val="99"/>
    <w:rPr>
      <w:rFonts w:ascii="Times New Roman" w:hAnsi="Times New Roman" w:eastAsia="宋体" w:cs="Times New Roman"/>
      <w:sz w:val="18"/>
      <w:szCs w:val="18"/>
    </w:rPr>
  </w:style>
  <w:style w:type="character" w:customStyle="1" w:styleId="27">
    <w:name w:val="标题 1 Char"/>
    <w:basedOn w:val="18"/>
    <w:link w:val="2"/>
    <w:qFormat/>
    <w:uiPriority w:val="9"/>
    <w:rPr>
      <w:rFonts w:asciiTheme="majorHAnsi" w:hAnsiTheme="majorHAnsi" w:eastAsiaTheme="majorEastAsia" w:cstheme="majorBidi"/>
      <w:b/>
      <w:bCs/>
      <w:color w:val="376092" w:themeColor="accent1" w:themeShade="BF"/>
      <w:sz w:val="24"/>
      <w:szCs w:val="24"/>
    </w:rPr>
  </w:style>
  <w:style w:type="character" w:customStyle="1" w:styleId="28">
    <w:name w:val="标题 2 Char"/>
    <w:basedOn w:val="18"/>
    <w:link w:val="3"/>
    <w:semiHidden/>
    <w:uiPriority w:val="9"/>
    <w:rPr>
      <w:rFonts w:asciiTheme="majorHAnsi" w:hAnsiTheme="majorHAnsi" w:eastAsiaTheme="majorEastAsia" w:cstheme="majorBidi"/>
      <w:color w:val="376092" w:themeColor="accent1" w:themeShade="BF"/>
      <w:sz w:val="24"/>
      <w:szCs w:val="24"/>
    </w:rPr>
  </w:style>
  <w:style w:type="character" w:customStyle="1" w:styleId="29">
    <w:name w:val="标题 3 Char"/>
    <w:basedOn w:val="18"/>
    <w:link w:val="4"/>
    <w:semiHidden/>
    <w:qFormat/>
    <w:uiPriority w:val="9"/>
    <w:rPr>
      <w:rFonts w:asciiTheme="majorHAnsi" w:hAnsiTheme="majorHAnsi" w:eastAsiaTheme="majorEastAsia" w:cstheme="majorBidi"/>
      <w:color w:val="4F81BD" w:themeColor="accent1"/>
      <w:sz w:val="24"/>
      <w:szCs w:val="24"/>
      <w14:textFill>
        <w14:solidFill>
          <w14:schemeClr w14:val="accent1"/>
        </w14:solidFill>
      </w14:textFill>
    </w:rPr>
  </w:style>
  <w:style w:type="character" w:customStyle="1" w:styleId="30">
    <w:name w:val="标题 4 Char"/>
    <w:basedOn w:val="18"/>
    <w:link w:val="5"/>
    <w:semiHidden/>
    <w:qFormat/>
    <w:uiPriority w:val="9"/>
    <w:rPr>
      <w:rFonts w:asciiTheme="majorHAnsi" w:hAnsiTheme="majorHAnsi" w:eastAsiaTheme="majorEastAsia" w:cstheme="majorBidi"/>
      <w:i/>
      <w:iCs/>
      <w:color w:val="4F81BD" w:themeColor="accent1"/>
      <w:sz w:val="24"/>
      <w:szCs w:val="24"/>
      <w14:textFill>
        <w14:solidFill>
          <w14:schemeClr w14:val="accent1"/>
        </w14:solidFill>
      </w14:textFill>
    </w:rPr>
  </w:style>
  <w:style w:type="character" w:customStyle="1" w:styleId="31">
    <w:name w:val="标题 5 Char"/>
    <w:basedOn w:val="18"/>
    <w:link w:val="6"/>
    <w:semiHidden/>
    <w:qFormat/>
    <w:uiPriority w:val="9"/>
    <w:rPr>
      <w:rFonts w:asciiTheme="majorHAnsi" w:hAnsiTheme="majorHAnsi" w:eastAsiaTheme="majorEastAsia" w:cstheme="majorBidi"/>
      <w:color w:val="4F81BD" w:themeColor="accent1"/>
      <w14:textFill>
        <w14:solidFill>
          <w14:schemeClr w14:val="accent1"/>
        </w14:solidFill>
      </w14:textFill>
    </w:rPr>
  </w:style>
  <w:style w:type="character" w:customStyle="1" w:styleId="32">
    <w:name w:val="标题 6 Char"/>
    <w:basedOn w:val="18"/>
    <w:link w:val="7"/>
    <w:semiHidden/>
    <w:qFormat/>
    <w:uiPriority w:val="9"/>
    <w:rPr>
      <w:rFonts w:asciiTheme="majorHAnsi" w:hAnsiTheme="majorHAnsi" w:eastAsiaTheme="majorEastAsia" w:cstheme="majorBidi"/>
      <w:i/>
      <w:iCs/>
      <w:color w:val="4F81BD" w:themeColor="accent1"/>
      <w14:textFill>
        <w14:solidFill>
          <w14:schemeClr w14:val="accent1"/>
        </w14:solidFill>
      </w14:textFill>
    </w:rPr>
  </w:style>
  <w:style w:type="character" w:customStyle="1" w:styleId="33">
    <w:name w:val="标题 7 Char"/>
    <w:basedOn w:val="18"/>
    <w:link w:val="8"/>
    <w:semiHidden/>
    <w:qFormat/>
    <w:uiPriority w:val="9"/>
    <w:rPr>
      <w:rFonts w:asciiTheme="majorHAnsi" w:hAnsiTheme="majorHAnsi" w:eastAsiaTheme="majorEastAsia" w:cstheme="majorBidi"/>
      <w:b/>
      <w:bCs/>
      <w:color w:val="9BBB59" w:themeColor="accent3"/>
      <w:sz w:val="20"/>
      <w:szCs w:val="20"/>
      <w14:textFill>
        <w14:solidFill>
          <w14:schemeClr w14:val="accent3"/>
        </w14:solidFill>
      </w14:textFill>
    </w:rPr>
  </w:style>
  <w:style w:type="character" w:customStyle="1" w:styleId="34">
    <w:name w:val="标题 8 Char"/>
    <w:basedOn w:val="18"/>
    <w:link w:val="9"/>
    <w:semiHidden/>
    <w:uiPriority w:val="9"/>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character" w:customStyle="1" w:styleId="35">
    <w:name w:val="标题 9 Char"/>
    <w:basedOn w:val="18"/>
    <w:link w:val="10"/>
    <w:semiHidden/>
    <w:qFormat/>
    <w:uiPriority w:val="9"/>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customStyle="1" w:styleId="36">
    <w:name w:val="标题 Char"/>
    <w:basedOn w:val="18"/>
    <w:link w:val="16"/>
    <w:uiPriority w:val="10"/>
    <w:rPr>
      <w:rFonts w:asciiTheme="majorHAnsi" w:hAnsiTheme="majorHAnsi" w:eastAsiaTheme="majorEastAsia" w:cstheme="majorBidi"/>
      <w:i/>
      <w:iCs/>
      <w:color w:val="254061" w:themeColor="accent1" w:themeShade="80"/>
      <w:sz w:val="60"/>
      <w:szCs w:val="60"/>
    </w:rPr>
  </w:style>
  <w:style w:type="character" w:customStyle="1" w:styleId="37">
    <w:name w:val="副标题 Char"/>
    <w:basedOn w:val="18"/>
    <w:link w:val="14"/>
    <w:uiPriority w:val="11"/>
    <w:rPr>
      <w:i/>
      <w:iCs/>
      <w:sz w:val="24"/>
      <w:szCs w:val="24"/>
    </w:rPr>
  </w:style>
  <w:style w:type="paragraph" w:styleId="38">
    <w:name w:val="No Spacing"/>
    <w:basedOn w:val="1"/>
    <w:link w:val="39"/>
    <w:qFormat/>
    <w:uiPriority w:val="1"/>
    <w:pPr>
      <w:ind w:firstLine="0"/>
    </w:pPr>
  </w:style>
  <w:style w:type="character" w:customStyle="1" w:styleId="39">
    <w:name w:val="无间隔 Char"/>
    <w:basedOn w:val="18"/>
    <w:link w:val="38"/>
    <w:uiPriority w:val="1"/>
  </w:style>
  <w:style w:type="paragraph" w:styleId="40">
    <w:name w:val="List Paragraph"/>
    <w:basedOn w:val="1"/>
    <w:qFormat/>
    <w:uiPriority w:val="34"/>
    <w:pPr>
      <w:ind w:left="720"/>
      <w:contextualSpacing/>
    </w:pPr>
  </w:style>
  <w:style w:type="paragraph" w:styleId="41">
    <w:name w:val="Quote"/>
    <w:basedOn w:val="1"/>
    <w:next w:val="1"/>
    <w:link w:val="42"/>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42">
    <w:name w:val="引用 Char"/>
    <w:basedOn w:val="18"/>
    <w:link w:val="41"/>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paragraph" w:styleId="43">
    <w:name w:val="Intense Quote"/>
    <w:basedOn w:val="1"/>
    <w:next w:val="1"/>
    <w:link w:val="44"/>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14:textFill>
        <w14:solidFill>
          <w14:schemeClr w14:val="bg1"/>
        </w14:solidFill>
      </w14:textFill>
    </w:rPr>
  </w:style>
  <w:style w:type="character" w:customStyle="1" w:styleId="44">
    <w:name w:val="明显引用 Char"/>
    <w:basedOn w:val="18"/>
    <w:link w:val="43"/>
    <w:qFormat/>
    <w:uiPriority w:val="30"/>
    <w:rPr>
      <w:rFonts w:asciiTheme="majorHAnsi" w:hAnsiTheme="majorHAnsi" w:eastAsiaTheme="majorEastAsia" w:cstheme="majorBidi"/>
      <w:i/>
      <w:iCs/>
      <w:color w:val="FFFFFF" w:themeColor="background1"/>
      <w:sz w:val="24"/>
      <w:szCs w:val="24"/>
      <w:shd w:val="clear" w:color="auto" w:fill="4F81BD" w:themeFill="accent1"/>
      <w14:textFill>
        <w14:solidFill>
          <w14:schemeClr w14:val="bg1"/>
        </w14:solidFill>
      </w14:textFill>
    </w:rPr>
  </w:style>
  <w:style w:type="character" w:customStyle="1" w:styleId="45">
    <w:name w:val="Subtle Emphasis"/>
    <w:qFormat/>
    <w:uiPriority w:val="19"/>
    <w:rPr>
      <w:i/>
      <w:iCs/>
      <w:color w:val="595959" w:themeColor="text1" w:themeTint="A6"/>
      <w14:textFill>
        <w14:solidFill>
          <w14:schemeClr w14:val="tx1">
            <w14:lumMod w14:val="65000"/>
            <w14:lumOff w14:val="35000"/>
          </w14:schemeClr>
        </w14:solidFill>
      </w14:textFill>
    </w:rPr>
  </w:style>
  <w:style w:type="character" w:customStyle="1" w:styleId="46">
    <w:name w:val="Intense Emphasis"/>
    <w:qFormat/>
    <w:uiPriority w:val="21"/>
    <w:rPr>
      <w:b/>
      <w:bCs/>
      <w:i/>
      <w:iCs/>
      <w:color w:val="4F81BD" w:themeColor="accent1"/>
      <w:sz w:val="22"/>
      <w:szCs w:val="22"/>
      <w14:textFill>
        <w14:solidFill>
          <w14:schemeClr w14:val="accent1"/>
        </w14:solidFill>
      </w14:textFill>
    </w:rPr>
  </w:style>
  <w:style w:type="character" w:customStyle="1" w:styleId="47">
    <w:name w:val="Subtle Reference"/>
    <w:qFormat/>
    <w:uiPriority w:val="31"/>
    <w:rPr>
      <w:color w:val="auto"/>
      <w:u w:val="single" w:color="9BBB59" w:themeColor="accent3"/>
    </w:rPr>
  </w:style>
  <w:style w:type="character" w:customStyle="1" w:styleId="48">
    <w:name w:val="Intense Reference"/>
    <w:basedOn w:val="18"/>
    <w:qFormat/>
    <w:uiPriority w:val="32"/>
    <w:rPr>
      <w:b/>
      <w:bCs/>
      <w:color w:val="77933C" w:themeColor="accent3" w:themeShade="BF"/>
      <w:u w:val="single" w:color="9BBB59" w:themeColor="accent3"/>
    </w:rPr>
  </w:style>
  <w:style w:type="character" w:customStyle="1" w:styleId="49">
    <w:name w:val="Book Title"/>
    <w:basedOn w:val="18"/>
    <w:qFormat/>
    <w:uiPriority w:val="33"/>
    <w:rPr>
      <w:rFonts w:asciiTheme="majorHAnsi" w:hAnsiTheme="majorHAnsi" w:eastAsiaTheme="majorEastAsia" w:cstheme="majorBidi"/>
      <w:b/>
      <w:bCs/>
      <w:i/>
      <w:iCs/>
      <w:color w:val="auto"/>
    </w:rPr>
  </w:style>
  <w:style w:type="paragraph" w:customStyle="1" w:styleId="50">
    <w:name w:val="TOC Heading"/>
    <w:basedOn w:val="2"/>
    <w:next w:val="1"/>
    <w:semiHidden/>
    <w:unhideWhenUsed/>
    <w:qFormat/>
    <w:uiPriority w:val="39"/>
    <w:pPr>
      <w:outlineLvl w:val="9"/>
    </w:pPr>
    <w:rPr>
      <w:lang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310</Words>
  <Characters>1770</Characters>
  <Lines>14</Lines>
  <Paragraphs>4</Paragraphs>
  <TotalTime>28</TotalTime>
  <ScaleCrop>false</ScaleCrop>
  <LinksUpToDate>false</LinksUpToDate>
  <CharactersWithSpaces>2076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2020-01-14T06:32:00Z</dcterms:created>
  <dc:creator>微软用户</dc:creator>
  <cp:lastModifiedBy>Administrator</cp:lastModifiedBy>
  <dcterms:modified xsi:type="dcterms:W3CDTF">2021-01-21T07:17:36Z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