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450" w:afterAutospacing="0"/>
        <w:ind w:left="0" w:right="0"/>
        <w:jc w:val="center"/>
        <w:rPr>
          <w:rFonts w:hint="eastAsia" w:ascii="仿宋_GB2312" w:hAnsi="仿宋_GB2312" w:eastAsia="仿宋_GB2312" w:cs="仿宋_GB2312"/>
          <w:sz w:val="32"/>
          <w:szCs w:val="32"/>
        </w:rPr>
      </w:pPr>
      <w:r>
        <w:rPr>
          <w:rFonts w:hint="eastAsia" w:ascii="方正小标宋简体" w:hAnsi="宋体" w:eastAsia="方正小标宋简体" w:cs="宋体"/>
          <w:kern w:val="0"/>
          <w:sz w:val="44"/>
          <w:szCs w:val="44"/>
          <w:lang w:val="en-US" w:eastAsia="zh-CN" w:bidi="ar-SA"/>
        </w:rPr>
        <w:t>宁海县退役军人事务局2020年政府信息公开工作年度报告</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年报按照2020年宁海县退役军人事务局信息公开工作实际编制而成。本年报由总体情况、主动公开政府信息情况、收到和处理政府信息公开申请情况、政府信息公开行政复议行政诉讼情况、存在的主要问题及改进情况、其他需要报告的事项等六部分组成。本年报中所列数据的统计日期自2020年1月1日起至2020年12</w:t>
      </w:r>
      <w:r>
        <w:rPr>
          <w:rFonts w:hint="eastAsia" w:ascii="仿宋_GB2312" w:hAnsi="仿宋_GB2312" w:eastAsia="仿宋_GB2312" w:cs="仿宋_GB2312"/>
          <w:sz w:val="32"/>
          <w:szCs w:val="32"/>
          <w:lang w:val="en-US" w:eastAsia="zh-CN"/>
        </w:rPr>
        <w:t>月</w:t>
      </w:r>
      <w:r>
        <w:rPr>
          <w:rFonts w:hint="eastAsia" w:ascii="仿宋_GB2312" w:hAnsi="仿宋_GB2312" w:eastAsia="仿宋_GB2312" w:cs="仿宋_GB2312"/>
          <w:sz w:val="32"/>
          <w:szCs w:val="32"/>
        </w:rPr>
        <w:t>31日止。本年报的电子版可在宁海县人民政府网站下载。如对本年度报告有疑问，请与宁海县退役军人事务局办公室联系（地址：宁海县桃源大厦B座21楼，邮编315600，电话：89289480）。</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一、总体情况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宁海县退役军人事务局始终把政务公开作为政府自身建设的重要内容，以打造阳光政府、透明政府为目标，坚持以公开为常态、不公开为例外，不断完善体制机制、创新方式方法，通过一年努力，政务公开更加标准更加规范，政务服务更加便民更加利民。</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（一）主动公开</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结合退役军人事务重点、亮点工作，充分发挥新媒体作用，主动公开最新国家、省市有关退役军人的政策信息，及时发布相关优待、抚恤新规定，有效为政府部门和退役军人及其他优抚对象之间搭建桥梁，共同推动全县退役军人事务工作稳步前。2020年通过宁海县退役军人事务局官网（</w:t>
      </w:r>
      <w:r>
        <w:rPr>
          <w:rFonts w:ascii="仿宋_GB2312" w:hAnsi="仿宋_GB2312" w:eastAsia="仿宋_GB2312" w:cs="仿宋_GB2312"/>
          <w:sz w:val="32"/>
          <w:szCs w:val="32"/>
        </w:rPr>
        <w:t>http://www.ninghai.gov.cn/col/col1229092176/index.html</w:t>
      </w:r>
      <w:r>
        <w:rPr>
          <w:rFonts w:hint="eastAsia" w:ascii="仿宋_GB2312" w:hAnsi="仿宋_GB2312" w:eastAsia="仿宋_GB2312" w:cs="仿宋_GB2312"/>
          <w:sz w:val="32"/>
          <w:szCs w:val="32"/>
        </w:rPr>
        <w:t>）主动公开政府信息36条。</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依申请公开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认真落实《条例》要求，健全完善政府信息依申请公开办理规定，严格按规范流程办理，并加强业务科室精准对接和法律顾问专业咨询，确保公开答复合法合规。2020年，我局共收到政府信息依申请公开0件，答复0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政府信息管理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优化政府信息公开栏目类型，抓好退役军人事务重点领域的信息发布，确保政府信息发布要素齐全；加强政府信息发布审核机制，及时完善相关政府信息的动态更新，积极整合运用政府信息公开保密审查、公文运转及信息发布等程序，认真落实政府信息公开工作长效管理机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平台建设</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不断提升政府门户网站多功能建设，做到专人管理负责，持续完善丰富宁海县退役军人事务局官网内容形式，持续加强信息的可读性、及时性和有效性。</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（五）监督保障</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为做好政务公开和发布的协调工作，成立了以党组书记为组长的政府信息公开领导小组，明确了分管领导，把政府信息公开列入重要议事日程，定期听取工作情况汇报，认真研究工作中的重大事项，及时解决工作中遇到的问题。确定由局办公室负责政府信息公开日常工作，各科室和直属单位各负其责，按照“谁主管、谁负责”的原则，切实做好全系统政府信息公开工作。</w:t>
      </w:r>
    </w:p>
    <w:p>
      <w:pPr>
        <w:numPr>
          <w:ilvl w:val="0"/>
          <w:numId w:val="2"/>
        </w:numPr>
        <w:ind w:firstLine="640" w:firstLineChars="200"/>
        <w:jc w:val="left"/>
        <w:rPr>
          <w:rFonts w:hint="eastAsia" w:ascii="黑体" w:hAnsi="黑体" w:eastAsia="黑体" w:cs="宋体"/>
          <w:sz w:val="32"/>
          <w:szCs w:val="32"/>
        </w:rPr>
      </w:pPr>
      <w:r>
        <w:rPr>
          <w:rFonts w:hint="eastAsia" w:ascii="黑体" w:hAnsi="黑体" w:eastAsia="黑体" w:cs="宋体"/>
          <w:sz w:val="32"/>
          <w:szCs w:val="32"/>
        </w:rPr>
        <w:t>主动公开政府信息情况</w:t>
      </w:r>
    </w:p>
    <w:tbl>
      <w:tblPr>
        <w:tblStyle w:val="6"/>
        <w:tblW w:w="0" w:type="auto"/>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605"/>
        <w:gridCol w:w="2268"/>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1" w:type="dxa"/>
            <w:gridSpan w:val="4"/>
            <w:noWrap w:val="0"/>
            <w:vAlign w:val="top"/>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信息内容</w:t>
            </w:r>
          </w:p>
        </w:tc>
        <w:tc>
          <w:tcPr>
            <w:tcW w:w="260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本年新制作数量</w:t>
            </w:r>
          </w:p>
        </w:tc>
        <w:tc>
          <w:tcPr>
            <w:tcW w:w="2268"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本年新公开数量</w:t>
            </w:r>
          </w:p>
        </w:tc>
        <w:tc>
          <w:tcPr>
            <w:tcW w:w="1984"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规章</w:t>
            </w:r>
          </w:p>
        </w:tc>
        <w:tc>
          <w:tcPr>
            <w:tcW w:w="260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0</w:t>
            </w:r>
          </w:p>
        </w:tc>
        <w:tc>
          <w:tcPr>
            <w:tcW w:w="2268"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0</w:t>
            </w:r>
          </w:p>
        </w:tc>
        <w:tc>
          <w:tcPr>
            <w:tcW w:w="1984"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规范性文件</w:t>
            </w:r>
          </w:p>
        </w:tc>
        <w:tc>
          <w:tcPr>
            <w:tcW w:w="2605" w:type="dxa"/>
            <w:noWrap w:val="0"/>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2268" w:type="dxa"/>
            <w:noWrap w:val="0"/>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1984" w:type="dxa"/>
            <w:noWrap w:val="0"/>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1" w:type="dxa"/>
            <w:gridSpan w:val="4"/>
            <w:noWrap w:val="0"/>
            <w:vAlign w:val="top"/>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信息内容</w:t>
            </w:r>
          </w:p>
        </w:tc>
        <w:tc>
          <w:tcPr>
            <w:tcW w:w="260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上一年项目数量</w:t>
            </w:r>
          </w:p>
        </w:tc>
        <w:tc>
          <w:tcPr>
            <w:tcW w:w="2268"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本年增/减</w:t>
            </w:r>
          </w:p>
        </w:tc>
        <w:tc>
          <w:tcPr>
            <w:tcW w:w="1984"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行政许可</w:t>
            </w:r>
          </w:p>
        </w:tc>
        <w:tc>
          <w:tcPr>
            <w:tcW w:w="2605" w:type="dxa"/>
            <w:noWrap w:val="0"/>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2268" w:type="dxa"/>
            <w:noWrap w:val="0"/>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1984" w:type="dxa"/>
            <w:noWrap w:val="0"/>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其他对外管理服务事项</w:t>
            </w:r>
          </w:p>
        </w:tc>
        <w:tc>
          <w:tcPr>
            <w:tcW w:w="2605" w:type="dxa"/>
            <w:noWrap w:val="0"/>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2268" w:type="dxa"/>
            <w:noWrap w:val="0"/>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1984" w:type="dxa"/>
            <w:noWrap w:val="0"/>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1" w:type="dxa"/>
            <w:gridSpan w:val="4"/>
            <w:noWrap w:val="0"/>
            <w:vAlign w:val="top"/>
          </w:tcPr>
          <w:p>
            <w:pPr>
              <w:spacing w:line="40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信息内容</w:t>
            </w:r>
          </w:p>
        </w:tc>
        <w:tc>
          <w:tcPr>
            <w:tcW w:w="2605" w:type="dxa"/>
            <w:noWrap w:val="0"/>
            <w:vAlign w:val="center"/>
          </w:tcPr>
          <w:p>
            <w:pPr>
              <w:spacing w:line="40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上一年项目数量</w:t>
            </w:r>
          </w:p>
        </w:tc>
        <w:tc>
          <w:tcPr>
            <w:tcW w:w="2268" w:type="dxa"/>
            <w:noWrap w:val="0"/>
            <w:vAlign w:val="center"/>
          </w:tcPr>
          <w:p>
            <w:pPr>
              <w:spacing w:line="40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本年增/减</w:t>
            </w:r>
          </w:p>
        </w:tc>
        <w:tc>
          <w:tcPr>
            <w:tcW w:w="1984" w:type="dxa"/>
            <w:noWrap w:val="0"/>
            <w:vAlign w:val="center"/>
          </w:tcPr>
          <w:p>
            <w:pPr>
              <w:spacing w:line="40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行政处罚</w:t>
            </w:r>
          </w:p>
        </w:tc>
        <w:tc>
          <w:tcPr>
            <w:tcW w:w="2605" w:type="dxa"/>
            <w:noWrap w:val="0"/>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2268" w:type="dxa"/>
            <w:noWrap w:val="0"/>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1984" w:type="dxa"/>
            <w:noWrap w:val="0"/>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行政强制</w:t>
            </w:r>
          </w:p>
        </w:tc>
        <w:tc>
          <w:tcPr>
            <w:tcW w:w="2605" w:type="dxa"/>
            <w:noWrap w:val="0"/>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2268" w:type="dxa"/>
            <w:noWrap w:val="0"/>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1984" w:type="dxa"/>
            <w:noWrap w:val="0"/>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1" w:type="dxa"/>
            <w:gridSpan w:val="4"/>
            <w:noWrap w:val="0"/>
            <w:vAlign w:val="top"/>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信息内容</w:t>
            </w:r>
          </w:p>
        </w:tc>
        <w:tc>
          <w:tcPr>
            <w:tcW w:w="260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上一年项目数量</w:t>
            </w:r>
          </w:p>
        </w:tc>
        <w:tc>
          <w:tcPr>
            <w:tcW w:w="4252" w:type="dxa"/>
            <w:gridSpan w:val="2"/>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行政事业性收费</w:t>
            </w:r>
          </w:p>
        </w:tc>
        <w:tc>
          <w:tcPr>
            <w:tcW w:w="2605" w:type="dxa"/>
            <w:noWrap w:val="0"/>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c>
          <w:tcPr>
            <w:tcW w:w="4252" w:type="dxa"/>
            <w:gridSpan w:val="2"/>
            <w:noWrap w:val="0"/>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1" w:type="dxa"/>
            <w:gridSpan w:val="4"/>
            <w:noWrap w:val="0"/>
            <w:vAlign w:val="top"/>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信息内容</w:t>
            </w:r>
          </w:p>
        </w:tc>
        <w:tc>
          <w:tcPr>
            <w:tcW w:w="2605"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采购项目数量</w:t>
            </w:r>
          </w:p>
        </w:tc>
        <w:tc>
          <w:tcPr>
            <w:tcW w:w="4252" w:type="dxa"/>
            <w:gridSpan w:val="2"/>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spacing w:line="400" w:lineRule="exact"/>
              <w:jc w:val="center"/>
              <w:rPr>
                <w:rFonts w:hint="eastAsia" w:ascii="宋体" w:hAnsi="宋体" w:eastAsia="宋体" w:cs="宋体"/>
                <w:sz w:val="21"/>
                <w:szCs w:val="21"/>
              </w:rPr>
            </w:pPr>
            <w:r>
              <w:rPr>
                <w:rFonts w:hint="eastAsia" w:ascii="宋体" w:hAnsi="宋体" w:eastAsia="宋体" w:cs="宋体"/>
                <w:sz w:val="21"/>
                <w:szCs w:val="21"/>
              </w:rPr>
              <w:t>政府集中采购</w:t>
            </w:r>
          </w:p>
        </w:tc>
        <w:tc>
          <w:tcPr>
            <w:tcW w:w="2605" w:type="dxa"/>
            <w:noWrap w:val="0"/>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4252" w:type="dxa"/>
            <w:gridSpan w:val="2"/>
            <w:noWrap w:val="0"/>
            <w:vAlign w:val="center"/>
          </w:tcPr>
          <w:p>
            <w:pPr>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29030.5</w:t>
            </w:r>
          </w:p>
        </w:tc>
      </w:tr>
    </w:tbl>
    <w:p>
      <w:pPr>
        <w:pStyle w:val="2"/>
        <w:numPr>
          <w:numId w:val="0"/>
        </w:numPr>
      </w:pPr>
    </w:p>
    <w:p>
      <w:pPr>
        <w:numPr>
          <w:numId w:val="0"/>
        </w:numPr>
        <w:ind w:firstLine="320" w:firstLineChars="100"/>
        <w:jc w:val="left"/>
        <w:rPr>
          <w:rFonts w:hint="eastAsia" w:ascii="黑体" w:hAnsi="黑体" w:eastAsia="黑体" w:cs="宋体"/>
          <w:sz w:val="32"/>
          <w:szCs w:val="32"/>
        </w:rPr>
      </w:pPr>
      <w:bookmarkStart w:id="0" w:name="_GoBack"/>
      <w:bookmarkEnd w:id="0"/>
      <w:r>
        <w:rPr>
          <w:rFonts w:hint="eastAsia" w:ascii="黑体" w:hAnsi="黑体" w:eastAsia="黑体" w:cs="宋体"/>
          <w:sz w:val="32"/>
          <w:szCs w:val="32"/>
        </w:rPr>
        <w:t>三、收到和处理政府信息公开申请情况</w:t>
      </w:r>
    </w:p>
    <w:tbl>
      <w:tblPr>
        <w:tblStyle w:val="6"/>
        <w:tblW w:w="94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1142"/>
        <w:gridCol w:w="2030"/>
        <w:gridCol w:w="840"/>
        <w:gridCol w:w="709"/>
        <w:gridCol w:w="709"/>
        <w:gridCol w:w="993"/>
        <w:gridCol w:w="815"/>
        <w:gridCol w:w="481"/>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5" w:type="dxa"/>
            <w:gridSpan w:val="3"/>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（本列数据的勾稽关系为：第一项加第二项之和，等于第三项加第四项之和）</w:t>
            </w:r>
          </w:p>
        </w:tc>
        <w:tc>
          <w:tcPr>
            <w:tcW w:w="5174" w:type="dxa"/>
            <w:gridSpan w:val="7"/>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0"/>
                <w:szCs w:val="20"/>
              </w:rPr>
            </w:pPr>
          </w:p>
        </w:tc>
        <w:tc>
          <w:tcPr>
            <w:tcW w:w="839"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自然人</w:t>
            </w:r>
          </w:p>
        </w:tc>
        <w:tc>
          <w:tcPr>
            <w:tcW w:w="3705"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法人或其他组织</w:t>
            </w:r>
          </w:p>
        </w:tc>
        <w:tc>
          <w:tcPr>
            <w:tcW w:w="630"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0"/>
                <w:szCs w:val="20"/>
              </w:rPr>
            </w:pPr>
          </w:p>
        </w:tc>
        <w:tc>
          <w:tcPr>
            <w:tcW w:w="517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0"/>
                <w:szCs w:val="20"/>
              </w:rPr>
            </w:pP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商业企业</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科研机构</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社会公益组织</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法律服务机构</w:t>
            </w:r>
          </w:p>
        </w:tc>
        <w:tc>
          <w:tcPr>
            <w:tcW w:w="4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其他</w:t>
            </w:r>
          </w:p>
        </w:tc>
        <w:tc>
          <w:tcPr>
            <w:tcW w:w="6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225"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一、本年新收政府信息公开申请数量</w:t>
            </w:r>
          </w:p>
        </w:tc>
        <w:tc>
          <w:tcPr>
            <w:tcW w:w="83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4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4225"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二、上年</w:t>
            </w:r>
            <w:r>
              <w:rPr>
                <w:rFonts w:hint="eastAsia" w:ascii="宋体" w:hAnsi="宋体" w:eastAsia="宋体" w:cs="宋体"/>
                <w:color w:val="333333"/>
                <w:sz w:val="20"/>
                <w:szCs w:val="20"/>
                <w:shd w:val="clear" w:color="auto" w:fill="FFFFFF"/>
              </w:rPr>
              <w:t>结转</w:t>
            </w:r>
            <w:r>
              <w:rPr>
                <w:rFonts w:hint="eastAsia" w:ascii="宋体" w:hAnsi="宋体" w:eastAsia="宋体" w:cs="宋体"/>
                <w:sz w:val="20"/>
                <w:szCs w:val="20"/>
              </w:rPr>
              <w:t>政府信息公开申请数量</w:t>
            </w:r>
          </w:p>
        </w:tc>
        <w:tc>
          <w:tcPr>
            <w:tcW w:w="83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4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5"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三、本年度办理结果</w:t>
            </w:r>
          </w:p>
        </w:tc>
        <w:tc>
          <w:tcPr>
            <w:tcW w:w="317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（一）予以公开</w:t>
            </w:r>
          </w:p>
        </w:tc>
        <w:tc>
          <w:tcPr>
            <w:tcW w:w="83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4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0"/>
                <w:szCs w:val="20"/>
              </w:rPr>
            </w:pPr>
          </w:p>
        </w:tc>
        <w:tc>
          <w:tcPr>
            <w:tcW w:w="317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（二）部分公开（区分处理的，只计这一情形，不计其他情形）</w:t>
            </w:r>
          </w:p>
        </w:tc>
        <w:tc>
          <w:tcPr>
            <w:tcW w:w="83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4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0"/>
                <w:szCs w:val="20"/>
              </w:rPr>
            </w:pPr>
          </w:p>
        </w:tc>
        <w:tc>
          <w:tcPr>
            <w:tcW w:w="1141"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（三）不予公开</w:t>
            </w:r>
          </w:p>
        </w:tc>
        <w:tc>
          <w:tcPr>
            <w:tcW w:w="20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1.属于国家秘密</w:t>
            </w:r>
          </w:p>
        </w:tc>
        <w:tc>
          <w:tcPr>
            <w:tcW w:w="83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4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0"/>
                <w:szCs w:val="20"/>
              </w:rPr>
            </w:pPr>
          </w:p>
        </w:tc>
        <w:tc>
          <w:tcPr>
            <w:tcW w:w="31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0"/>
                <w:szCs w:val="20"/>
              </w:rPr>
            </w:pPr>
          </w:p>
        </w:tc>
        <w:tc>
          <w:tcPr>
            <w:tcW w:w="20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2.其他法律行政法规禁止公开</w:t>
            </w:r>
          </w:p>
        </w:tc>
        <w:tc>
          <w:tcPr>
            <w:tcW w:w="83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4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2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0"/>
                <w:szCs w:val="20"/>
              </w:rPr>
            </w:pPr>
          </w:p>
        </w:tc>
        <w:tc>
          <w:tcPr>
            <w:tcW w:w="31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0"/>
                <w:szCs w:val="20"/>
              </w:rPr>
            </w:pPr>
          </w:p>
        </w:tc>
        <w:tc>
          <w:tcPr>
            <w:tcW w:w="20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3.危及“三安全一稳定”</w:t>
            </w:r>
          </w:p>
        </w:tc>
        <w:tc>
          <w:tcPr>
            <w:tcW w:w="83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4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42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0"/>
                <w:szCs w:val="20"/>
              </w:rPr>
            </w:pPr>
          </w:p>
        </w:tc>
        <w:tc>
          <w:tcPr>
            <w:tcW w:w="31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0"/>
                <w:szCs w:val="20"/>
              </w:rPr>
            </w:pPr>
          </w:p>
        </w:tc>
        <w:tc>
          <w:tcPr>
            <w:tcW w:w="20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4.保护第三方合法权益</w:t>
            </w:r>
          </w:p>
        </w:tc>
        <w:tc>
          <w:tcPr>
            <w:tcW w:w="83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4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0"/>
                <w:szCs w:val="20"/>
              </w:rPr>
            </w:pPr>
          </w:p>
        </w:tc>
        <w:tc>
          <w:tcPr>
            <w:tcW w:w="31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0"/>
                <w:szCs w:val="20"/>
              </w:rPr>
            </w:pPr>
          </w:p>
        </w:tc>
        <w:tc>
          <w:tcPr>
            <w:tcW w:w="20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5.属于三类内部事务信息</w:t>
            </w:r>
          </w:p>
        </w:tc>
        <w:tc>
          <w:tcPr>
            <w:tcW w:w="83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4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42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0"/>
                <w:szCs w:val="20"/>
              </w:rPr>
            </w:pPr>
          </w:p>
        </w:tc>
        <w:tc>
          <w:tcPr>
            <w:tcW w:w="31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0"/>
                <w:szCs w:val="20"/>
              </w:rPr>
            </w:pPr>
          </w:p>
        </w:tc>
        <w:tc>
          <w:tcPr>
            <w:tcW w:w="20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6.属于四类过程性信息</w:t>
            </w:r>
          </w:p>
        </w:tc>
        <w:tc>
          <w:tcPr>
            <w:tcW w:w="83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4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42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0"/>
                <w:szCs w:val="20"/>
              </w:rPr>
            </w:pPr>
          </w:p>
        </w:tc>
        <w:tc>
          <w:tcPr>
            <w:tcW w:w="31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0"/>
                <w:szCs w:val="20"/>
              </w:rPr>
            </w:pPr>
          </w:p>
        </w:tc>
        <w:tc>
          <w:tcPr>
            <w:tcW w:w="20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7.属于行政执法案卷</w:t>
            </w:r>
          </w:p>
        </w:tc>
        <w:tc>
          <w:tcPr>
            <w:tcW w:w="83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4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42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0"/>
                <w:szCs w:val="20"/>
              </w:rPr>
            </w:pPr>
          </w:p>
        </w:tc>
        <w:tc>
          <w:tcPr>
            <w:tcW w:w="31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0"/>
                <w:szCs w:val="20"/>
              </w:rPr>
            </w:pPr>
          </w:p>
        </w:tc>
        <w:tc>
          <w:tcPr>
            <w:tcW w:w="20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8.属于行政查询事项</w:t>
            </w:r>
          </w:p>
        </w:tc>
        <w:tc>
          <w:tcPr>
            <w:tcW w:w="83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4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0"/>
                <w:szCs w:val="20"/>
              </w:rPr>
            </w:pPr>
          </w:p>
        </w:tc>
        <w:tc>
          <w:tcPr>
            <w:tcW w:w="1141"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（四）无法提供</w:t>
            </w:r>
          </w:p>
        </w:tc>
        <w:tc>
          <w:tcPr>
            <w:tcW w:w="20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1.本机关不掌握相关政府信息</w:t>
            </w:r>
          </w:p>
        </w:tc>
        <w:tc>
          <w:tcPr>
            <w:tcW w:w="83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4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0"/>
                <w:szCs w:val="20"/>
              </w:rPr>
            </w:pPr>
          </w:p>
        </w:tc>
        <w:tc>
          <w:tcPr>
            <w:tcW w:w="31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0"/>
                <w:szCs w:val="20"/>
              </w:rPr>
            </w:pPr>
          </w:p>
        </w:tc>
        <w:tc>
          <w:tcPr>
            <w:tcW w:w="20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2.没有现成信息需要另行制作</w:t>
            </w:r>
          </w:p>
        </w:tc>
        <w:tc>
          <w:tcPr>
            <w:tcW w:w="83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4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0"/>
                <w:szCs w:val="20"/>
              </w:rPr>
            </w:pPr>
          </w:p>
        </w:tc>
        <w:tc>
          <w:tcPr>
            <w:tcW w:w="31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0"/>
                <w:szCs w:val="20"/>
              </w:rPr>
            </w:pPr>
          </w:p>
        </w:tc>
        <w:tc>
          <w:tcPr>
            <w:tcW w:w="20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3.补正后申请内容仍不明确</w:t>
            </w:r>
          </w:p>
        </w:tc>
        <w:tc>
          <w:tcPr>
            <w:tcW w:w="83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4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42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0"/>
                <w:szCs w:val="20"/>
              </w:rPr>
            </w:pPr>
          </w:p>
        </w:tc>
        <w:tc>
          <w:tcPr>
            <w:tcW w:w="1141"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（五）不予处理</w:t>
            </w:r>
          </w:p>
        </w:tc>
        <w:tc>
          <w:tcPr>
            <w:tcW w:w="20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1.信访举报投诉类申请</w:t>
            </w:r>
          </w:p>
        </w:tc>
        <w:tc>
          <w:tcPr>
            <w:tcW w:w="83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4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42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0"/>
                <w:szCs w:val="20"/>
              </w:rPr>
            </w:pPr>
          </w:p>
        </w:tc>
        <w:tc>
          <w:tcPr>
            <w:tcW w:w="31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0"/>
                <w:szCs w:val="20"/>
              </w:rPr>
            </w:pPr>
          </w:p>
        </w:tc>
        <w:tc>
          <w:tcPr>
            <w:tcW w:w="20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2.重复申请</w:t>
            </w:r>
          </w:p>
        </w:tc>
        <w:tc>
          <w:tcPr>
            <w:tcW w:w="83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4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42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0"/>
                <w:szCs w:val="20"/>
              </w:rPr>
            </w:pPr>
          </w:p>
        </w:tc>
        <w:tc>
          <w:tcPr>
            <w:tcW w:w="31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0"/>
                <w:szCs w:val="20"/>
              </w:rPr>
            </w:pPr>
          </w:p>
        </w:tc>
        <w:tc>
          <w:tcPr>
            <w:tcW w:w="20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3.要求提供公开出版物</w:t>
            </w:r>
          </w:p>
        </w:tc>
        <w:tc>
          <w:tcPr>
            <w:tcW w:w="83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4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0"/>
                <w:szCs w:val="20"/>
              </w:rPr>
            </w:pPr>
          </w:p>
        </w:tc>
        <w:tc>
          <w:tcPr>
            <w:tcW w:w="31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0"/>
                <w:szCs w:val="20"/>
              </w:rPr>
            </w:pPr>
          </w:p>
        </w:tc>
        <w:tc>
          <w:tcPr>
            <w:tcW w:w="20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4.无正当理由大量反复申请</w:t>
            </w:r>
          </w:p>
        </w:tc>
        <w:tc>
          <w:tcPr>
            <w:tcW w:w="83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4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0"/>
                <w:szCs w:val="20"/>
              </w:rPr>
            </w:pPr>
          </w:p>
        </w:tc>
        <w:tc>
          <w:tcPr>
            <w:tcW w:w="31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0"/>
                <w:szCs w:val="20"/>
              </w:rPr>
            </w:pPr>
          </w:p>
        </w:tc>
        <w:tc>
          <w:tcPr>
            <w:tcW w:w="20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5.要求行政机关确认或重新出具已获取信息</w:t>
            </w:r>
          </w:p>
        </w:tc>
        <w:tc>
          <w:tcPr>
            <w:tcW w:w="83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4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2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0"/>
                <w:szCs w:val="20"/>
              </w:rPr>
            </w:pPr>
          </w:p>
        </w:tc>
        <w:tc>
          <w:tcPr>
            <w:tcW w:w="1141"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（六）其他处理</w:t>
            </w:r>
          </w:p>
        </w:tc>
        <w:tc>
          <w:tcPr>
            <w:tcW w:w="20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1.申请人无正当理由逾期不补正、行政机关不再处理其政府信息公开申请</w:t>
            </w:r>
          </w:p>
        </w:tc>
        <w:tc>
          <w:tcPr>
            <w:tcW w:w="83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4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2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0"/>
                <w:szCs w:val="20"/>
              </w:rPr>
            </w:pPr>
          </w:p>
        </w:tc>
        <w:tc>
          <w:tcPr>
            <w:tcW w:w="31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0"/>
                <w:szCs w:val="20"/>
              </w:rPr>
            </w:pPr>
          </w:p>
        </w:tc>
        <w:tc>
          <w:tcPr>
            <w:tcW w:w="20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color w:val="333333"/>
                <w:sz w:val="20"/>
                <w:szCs w:val="20"/>
                <w:shd w:val="clear" w:color="auto" w:fill="FFFFFF"/>
              </w:rPr>
              <w:t>2.申请人逾期未按收费通知要求缴纳费用、行政机关不再处理其政府信息公开申请</w:t>
            </w:r>
          </w:p>
        </w:tc>
        <w:tc>
          <w:tcPr>
            <w:tcW w:w="83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4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2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0"/>
                <w:szCs w:val="20"/>
              </w:rPr>
            </w:pPr>
          </w:p>
        </w:tc>
        <w:tc>
          <w:tcPr>
            <w:tcW w:w="31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0"/>
                <w:szCs w:val="20"/>
              </w:rPr>
            </w:pPr>
          </w:p>
        </w:tc>
        <w:tc>
          <w:tcPr>
            <w:tcW w:w="20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color w:val="333333"/>
                <w:sz w:val="20"/>
                <w:szCs w:val="20"/>
                <w:shd w:val="clear" w:color="auto" w:fill="FFFFFF"/>
              </w:rPr>
              <w:t>3.其他</w:t>
            </w:r>
          </w:p>
        </w:tc>
        <w:tc>
          <w:tcPr>
            <w:tcW w:w="83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4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42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0"/>
                <w:szCs w:val="20"/>
              </w:rPr>
            </w:pPr>
          </w:p>
        </w:tc>
        <w:tc>
          <w:tcPr>
            <w:tcW w:w="317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（七）总计</w:t>
            </w:r>
          </w:p>
        </w:tc>
        <w:tc>
          <w:tcPr>
            <w:tcW w:w="83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4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4225"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四、</w:t>
            </w:r>
            <w:r>
              <w:rPr>
                <w:rFonts w:hint="eastAsia" w:ascii="宋体" w:hAnsi="宋体" w:eastAsia="宋体" w:cs="宋体"/>
                <w:color w:val="333333"/>
                <w:sz w:val="20"/>
                <w:szCs w:val="20"/>
                <w:shd w:val="clear" w:color="auto" w:fill="FFFFFF"/>
              </w:rPr>
              <w:t>结转</w:t>
            </w:r>
            <w:r>
              <w:rPr>
                <w:rFonts w:hint="eastAsia" w:ascii="宋体" w:hAnsi="宋体" w:eastAsia="宋体" w:cs="宋体"/>
                <w:sz w:val="20"/>
                <w:szCs w:val="20"/>
              </w:rPr>
              <w:t>下年度继续办理</w:t>
            </w:r>
          </w:p>
        </w:tc>
        <w:tc>
          <w:tcPr>
            <w:tcW w:w="83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9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81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48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63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r>
    </w:tbl>
    <w:p>
      <w:pPr>
        <w:spacing w:before="312" w:beforeLines="100" w:after="156" w:afterLines="50" w:line="400" w:lineRule="exact"/>
        <w:ind w:firstLine="640" w:firstLineChars="200"/>
        <w:outlineLvl w:val="0"/>
        <w:rPr>
          <w:rFonts w:ascii="黑体" w:hAnsi="黑体" w:eastAsia="黑体" w:cs="宋体"/>
          <w:kern w:val="0"/>
          <w:sz w:val="32"/>
          <w:szCs w:val="32"/>
        </w:rPr>
      </w:pPr>
      <w:r>
        <w:rPr>
          <w:rFonts w:hint="eastAsia" w:ascii="黑体" w:hAnsi="黑体" w:eastAsia="黑体" w:cs="宋体"/>
          <w:kern w:val="0"/>
          <w:sz w:val="32"/>
          <w:szCs w:val="32"/>
        </w:rPr>
        <w:t>四、政府信息公开行政复议、行政诉讼情况</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553"/>
        <w:gridCol w:w="553"/>
        <w:gridCol w:w="553"/>
        <w:gridCol w:w="553"/>
        <w:gridCol w:w="553"/>
        <w:gridCol w:w="553"/>
        <w:gridCol w:w="553"/>
        <w:gridCol w:w="553"/>
        <w:gridCol w:w="553"/>
        <w:gridCol w:w="553"/>
        <w:gridCol w:w="553"/>
        <w:gridCol w:w="553"/>
        <w:gridCol w:w="553"/>
        <w:gridCol w:w="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gridSpan w:val="5"/>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行政复议</w:t>
            </w:r>
          </w:p>
        </w:tc>
        <w:tc>
          <w:tcPr>
            <w:tcW w:w="5531" w:type="dxa"/>
            <w:gridSpan w:val="10"/>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77"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sz w:val="20"/>
                <w:szCs w:val="20"/>
              </w:rPr>
            </w:pPr>
          </w:p>
        </w:tc>
        <w:tc>
          <w:tcPr>
            <w:tcW w:w="2765"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未经复议直接起诉</w:t>
            </w:r>
          </w:p>
        </w:tc>
        <w:tc>
          <w:tcPr>
            <w:tcW w:w="2766"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结果维持</w:t>
            </w:r>
          </w:p>
        </w:tc>
        <w:tc>
          <w:tcPr>
            <w:tcW w:w="5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结果纠正</w:t>
            </w:r>
          </w:p>
        </w:tc>
        <w:tc>
          <w:tcPr>
            <w:tcW w:w="5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其他结果</w:t>
            </w:r>
          </w:p>
        </w:tc>
        <w:tc>
          <w:tcPr>
            <w:tcW w:w="5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尚未审结</w:t>
            </w:r>
          </w:p>
        </w:tc>
        <w:tc>
          <w:tcPr>
            <w:tcW w:w="5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总计</w:t>
            </w:r>
          </w:p>
        </w:tc>
        <w:tc>
          <w:tcPr>
            <w:tcW w:w="5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结果维持</w:t>
            </w:r>
          </w:p>
        </w:tc>
        <w:tc>
          <w:tcPr>
            <w:tcW w:w="5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结果纠正</w:t>
            </w:r>
          </w:p>
        </w:tc>
        <w:tc>
          <w:tcPr>
            <w:tcW w:w="5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其他结果</w:t>
            </w:r>
          </w:p>
        </w:tc>
        <w:tc>
          <w:tcPr>
            <w:tcW w:w="5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尚未审结</w:t>
            </w:r>
          </w:p>
        </w:tc>
        <w:tc>
          <w:tcPr>
            <w:tcW w:w="5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总计</w:t>
            </w:r>
          </w:p>
        </w:tc>
        <w:tc>
          <w:tcPr>
            <w:tcW w:w="5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结果维持</w:t>
            </w:r>
          </w:p>
        </w:tc>
        <w:tc>
          <w:tcPr>
            <w:tcW w:w="5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结果纠正</w:t>
            </w:r>
          </w:p>
        </w:tc>
        <w:tc>
          <w:tcPr>
            <w:tcW w:w="5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其他结果</w:t>
            </w:r>
          </w:p>
        </w:tc>
        <w:tc>
          <w:tcPr>
            <w:tcW w:w="5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尚未审结</w:t>
            </w:r>
          </w:p>
        </w:tc>
        <w:tc>
          <w:tcPr>
            <w:tcW w:w="5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5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5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5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5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5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5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5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5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5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5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5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5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5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c>
          <w:tcPr>
            <w:tcW w:w="5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eastAsia="宋体" w:cs="宋体"/>
                <w:sz w:val="20"/>
                <w:szCs w:val="20"/>
              </w:rPr>
            </w:pPr>
            <w:r>
              <w:rPr>
                <w:rFonts w:hint="eastAsia" w:ascii="宋体" w:hAnsi="宋体" w:eastAsia="宋体" w:cs="宋体"/>
                <w:sz w:val="20"/>
                <w:szCs w:val="20"/>
              </w:rPr>
              <w:t>0</w:t>
            </w:r>
          </w:p>
        </w:tc>
      </w:tr>
    </w:tbl>
    <w:p>
      <w:pPr>
        <w:spacing w:line="400" w:lineRule="exact"/>
        <w:rPr>
          <w:rFonts w:ascii="仿宋_GB2312" w:hAnsi="Times New Roman" w:eastAsia="仿宋_GB2312" w:cs="Times New Roman"/>
          <w:sz w:val="32"/>
          <w:szCs w:val="32"/>
        </w:rPr>
      </w:pPr>
    </w:p>
    <w:p>
      <w:pPr>
        <w:pStyle w:val="16"/>
        <w:rPr>
          <w:rFonts w:ascii="黑体" w:hAnsi="黑体" w:eastAsia="黑体" w:cs="宋体"/>
          <w:kern w:val="0"/>
        </w:rPr>
      </w:pPr>
      <w:r>
        <w:rPr>
          <w:rFonts w:hint="eastAsia" w:ascii="黑体" w:hAnsi="黑体" w:eastAsia="黑体" w:cs="宋体"/>
          <w:kern w:val="0"/>
        </w:rPr>
        <w:t>五、存在的主要问题和改进情况</w:t>
      </w:r>
    </w:p>
    <w:p>
      <w:pPr>
        <w:pStyle w:val="16"/>
      </w:pPr>
      <w:r>
        <w:rPr>
          <w:rFonts w:hint="eastAsia" w:ascii="仿宋_GB2312" w:hAnsi="仿宋_GB2312" w:eastAsia="仿宋_GB2312" w:cs="仿宋_GB2312"/>
        </w:rPr>
        <w:t>我局在政府信息公开方面虽然取得了一定成效，但还存在不少问题，如：信息公开的内容有待进一步完善，信息更新还不够及时等，还有许多工作需要在实践中进一步探索。为此，下一步我局将在以下三个方面的</w:t>
      </w:r>
      <w:r>
        <w:rPr>
          <w:rFonts w:hint="eastAsia" w:ascii="仿宋_GB2312" w:hAnsi="仿宋_GB2312" w:eastAsia="仿宋_GB2312" w:cs="仿宋_GB2312"/>
          <w:lang w:eastAsia="zh-CN"/>
        </w:rPr>
        <w:t>做出</w:t>
      </w:r>
      <w:r>
        <w:rPr>
          <w:rFonts w:hint="eastAsia" w:ascii="仿宋_GB2312" w:hAnsi="仿宋_GB2312" w:eastAsia="仿宋_GB2312" w:cs="仿宋_GB2312"/>
        </w:rPr>
        <w:t>改进：一是加强政务服务工作。通过业务培训等形式，使相关人员提高政务公开意识，准确把握公开重点，及时、准确、全面公开群众普遍关心的信息，不断丰富政务公开的内容。二是加强政务公开渠道建设。办好网上服务平台、互动平台等工作充分发挥门户网站的作用，积极开展政务微博、微信建设，使人民群众能通过更多渠道获得政务公开信息，不断提高政务公开的质量和水平。三是</w:t>
      </w:r>
      <w:r>
        <w:rPr>
          <w:rFonts w:hint="eastAsia" w:ascii="仿宋_GB2312" w:hAnsi="仿宋_GB2312" w:eastAsia="仿宋_GB2312" w:cs="仿宋_GB2312"/>
          <w:lang w:eastAsia="zh-CN"/>
        </w:rPr>
        <w:t>多元</w:t>
      </w:r>
      <w:r>
        <w:rPr>
          <w:rFonts w:hint="eastAsia" w:ascii="仿宋_GB2312" w:hAnsi="仿宋_GB2312" w:eastAsia="仿宋_GB2312" w:cs="仿宋_GB2312"/>
        </w:rPr>
        <w:t>政务公开信息类型，丰富公开形式</w:t>
      </w:r>
      <w:r>
        <w:rPr>
          <w:rFonts w:hint="eastAsia"/>
        </w:rPr>
        <w:t>。</w:t>
      </w:r>
    </w:p>
    <w:p>
      <w:pPr>
        <w:pStyle w:val="16"/>
        <w:rPr>
          <w:rFonts w:ascii="黑体" w:hAnsi="黑体" w:eastAsia="黑体" w:cs="宋体"/>
          <w:kern w:val="0"/>
        </w:rPr>
      </w:pPr>
      <w:r>
        <w:rPr>
          <w:rFonts w:hint="eastAsia" w:ascii="黑体" w:hAnsi="黑体" w:eastAsia="黑体" w:cs="宋体"/>
          <w:kern w:val="0"/>
        </w:rPr>
        <w:t>六、其他需要报告的事项</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本年度无其他需要报告事项。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4FBF0A"/>
    <w:multiLevelType w:val="singleLevel"/>
    <w:tmpl w:val="B74FBF0A"/>
    <w:lvl w:ilvl="0" w:tentative="0">
      <w:start w:val="2"/>
      <w:numFmt w:val="chineseCounting"/>
      <w:suff w:val="nothing"/>
      <w:lvlText w:val="（%1）"/>
      <w:lvlJc w:val="left"/>
      <w:pPr>
        <w:ind w:left="640" w:firstLine="0"/>
      </w:pPr>
      <w:rPr>
        <w:rFonts w:hint="eastAsia"/>
      </w:rPr>
    </w:lvl>
  </w:abstractNum>
  <w:abstractNum w:abstractNumId="1">
    <w:nsid w:val="5359C214"/>
    <w:multiLevelType w:val="singleLevel"/>
    <w:tmpl w:val="5359C214"/>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952"/>
    <w:rsid w:val="000361D8"/>
    <w:rsid w:val="001F4810"/>
    <w:rsid w:val="001F6E5F"/>
    <w:rsid w:val="002208FA"/>
    <w:rsid w:val="004B46AC"/>
    <w:rsid w:val="004F4717"/>
    <w:rsid w:val="006C3763"/>
    <w:rsid w:val="00EA1F53"/>
    <w:rsid w:val="00EB786E"/>
    <w:rsid w:val="00FF1952"/>
    <w:rsid w:val="03B7766D"/>
    <w:rsid w:val="0FFA2924"/>
    <w:rsid w:val="10E472E1"/>
    <w:rsid w:val="135950FD"/>
    <w:rsid w:val="1B452D25"/>
    <w:rsid w:val="1B465362"/>
    <w:rsid w:val="1E2E3491"/>
    <w:rsid w:val="30FE7D80"/>
    <w:rsid w:val="3ABF281C"/>
    <w:rsid w:val="3B3B4F65"/>
    <w:rsid w:val="3B6448DF"/>
    <w:rsid w:val="3F980106"/>
    <w:rsid w:val="402A43A3"/>
    <w:rsid w:val="41FF6CEC"/>
    <w:rsid w:val="49055DE9"/>
    <w:rsid w:val="4B0D0BD1"/>
    <w:rsid w:val="4B4979F9"/>
    <w:rsid w:val="501A379C"/>
    <w:rsid w:val="5B01367D"/>
    <w:rsid w:val="5C684956"/>
    <w:rsid w:val="687B751D"/>
    <w:rsid w:val="71200EED"/>
    <w:rsid w:val="74AE4186"/>
    <w:rsid w:val="74D77F31"/>
    <w:rsid w:val="75736ACE"/>
    <w:rsid w:val="770E2BFD"/>
    <w:rsid w:val="77212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1"/>
    <w:uiPriority w:val="0"/>
    <w:pPr>
      <w:ind w:firstLine="200" w:firstLineChars="200"/>
    </w:pPr>
    <w:rPr>
      <w:sz w:val="21"/>
      <w:szCs w:val="22"/>
      <w:lang w:val="en-US" w:eastAsia="zh-CN" w:bidi="ar-SA"/>
    </w:rPr>
  </w:style>
  <w:style w:type="paragraph" w:styleId="3">
    <w:name w:val="footer"/>
    <w:basedOn w:val="1"/>
    <w:link w:val="15"/>
    <w:qFormat/>
    <w:uiPriority w:val="0"/>
    <w:pPr>
      <w:tabs>
        <w:tab w:val="center" w:pos="4153"/>
        <w:tab w:val="right" w:pos="8306"/>
      </w:tabs>
      <w:snapToGrid w:val="0"/>
      <w:jc w:val="left"/>
    </w:pPr>
    <w:rPr>
      <w:sz w:val="18"/>
      <w:szCs w:val="18"/>
    </w:rPr>
  </w:style>
  <w:style w:type="paragraph" w:styleId="4">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b/>
      <w:bCs/>
    </w:rPr>
  </w:style>
  <w:style w:type="character" w:styleId="9">
    <w:name w:val="FollowedHyperlink"/>
    <w:basedOn w:val="7"/>
    <w:qFormat/>
    <w:uiPriority w:val="0"/>
    <w:rPr>
      <w:color w:val="800080"/>
      <w:u w:val="none"/>
    </w:rPr>
  </w:style>
  <w:style w:type="character" w:styleId="10">
    <w:name w:val="Hyperlink"/>
    <w:basedOn w:val="7"/>
    <w:qFormat/>
    <w:uiPriority w:val="0"/>
    <w:rPr>
      <w:color w:val="0000FF"/>
      <w:u w:val="none"/>
    </w:rPr>
  </w:style>
  <w:style w:type="character" w:styleId="11">
    <w:name w:val="HTML Code"/>
    <w:basedOn w:val="7"/>
    <w:uiPriority w:val="0"/>
    <w:rPr>
      <w:rFonts w:hint="default" w:ascii="monospace" w:hAnsi="monospace" w:eastAsia="monospace" w:cs="monospace"/>
      <w:sz w:val="21"/>
      <w:szCs w:val="21"/>
    </w:rPr>
  </w:style>
  <w:style w:type="character" w:styleId="12">
    <w:name w:val="HTML Keyboard"/>
    <w:basedOn w:val="7"/>
    <w:qFormat/>
    <w:uiPriority w:val="0"/>
    <w:rPr>
      <w:rFonts w:ascii="monospace" w:hAnsi="monospace" w:eastAsia="monospace" w:cs="monospace"/>
      <w:sz w:val="21"/>
      <w:szCs w:val="21"/>
    </w:rPr>
  </w:style>
  <w:style w:type="character" w:styleId="13">
    <w:name w:val="HTML Sample"/>
    <w:basedOn w:val="7"/>
    <w:uiPriority w:val="0"/>
    <w:rPr>
      <w:rFonts w:hint="default" w:ascii="monospace" w:hAnsi="monospace" w:eastAsia="monospace" w:cs="monospace"/>
      <w:sz w:val="21"/>
      <w:szCs w:val="21"/>
    </w:rPr>
  </w:style>
  <w:style w:type="character" w:customStyle="1" w:styleId="14">
    <w:name w:val="页眉 Char"/>
    <w:basedOn w:val="7"/>
    <w:link w:val="4"/>
    <w:qFormat/>
    <w:uiPriority w:val="0"/>
    <w:rPr>
      <w:rFonts w:asciiTheme="minorHAnsi" w:hAnsiTheme="minorHAnsi" w:eastAsiaTheme="minorEastAsia" w:cstheme="minorBidi"/>
      <w:kern w:val="2"/>
      <w:sz w:val="18"/>
      <w:szCs w:val="18"/>
    </w:rPr>
  </w:style>
  <w:style w:type="character" w:customStyle="1" w:styleId="15">
    <w:name w:val="页脚 Char"/>
    <w:basedOn w:val="7"/>
    <w:link w:val="3"/>
    <w:qFormat/>
    <w:uiPriority w:val="0"/>
    <w:rPr>
      <w:rFonts w:asciiTheme="minorHAnsi" w:hAnsiTheme="minorHAnsi" w:eastAsiaTheme="minorEastAsia" w:cstheme="minorBidi"/>
      <w:kern w:val="2"/>
      <w:sz w:val="18"/>
      <w:szCs w:val="18"/>
    </w:rPr>
  </w:style>
  <w:style w:type="paragraph" w:customStyle="1" w:styleId="16">
    <w:name w:val="正-文"/>
    <w:basedOn w:val="1"/>
    <w:qFormat/>
    <w:uiPriority w:val="0"/>
    <w:pPr>
      <w:spacing w:line="560" w:lineRule="exact"/>
      <w:ind w:firstLine="640" w:firstLineChars="200"/>
    </w:pPr>
    <w:rPr>
      <w:rFonts w:ascii="Times New Roman" w:hAnsi="Times New Roman" w:eastAsia="仿宋" w:cs="Times New Roman"/>
      <w:sz w:val="32"/>
      <w:szCs w:val="32"/>
    </w:rPr>
  </w:style>
  <w:style w:type="character" w:customStyle="1" w:styleId="17">
    <w:name w:val="wzsize"/>
    <w:basedOn w:val="7"/>
    <w:qFormat/>
    <w:uiPriority w:val="0"/>
    <w:rPr>
      <w:vanish/>
    </w:rPr>
  </w:style>
  <w:style w:type="character" w:customStyle="1" w:styleId="18">
    <w:name w:val="jp-artist"/>
    <w:basedOn w:val="7"/>
    <w:qFormat/>
    <w:uiPriority w:val="0"/>
    <w:rPr>
      <w:color w:val="666666"/>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6</Pages>
  <Words>400</Words>
  <Characters>2286</Characters>
  <Lines>19</Lines>
  <Paragraphs>5</Paragraphs>
  <TotalTime>1</TotalTime>
  <ScaleCrop>false</ScaleCrop>
  <LinksUpToDate>false</LinksUpToDate>
  <CharactersWithSpaces>2681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Lu</cp:lastModifiedBy>
  <dcterms:modified xsi:type="dcterms:W3CDTF">2022-02-09T00:54:45Z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AFBE2FFCEDF4492F9B42CE2051989DBC</vt:lpwstr>
  </property>
</Properties>
</file>