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附件1：</w:t>
      </w:r>
    </w:p>
    <w:p>
      <w:pPr>
        <w:adjustRightInd w:val="0"/>
        <w:snapToGrid w:val="0"/>
        <w:spacing w:line="600" w:lineRule="exact"/>
        <w:jc w:val="left"/>
        <w:rPr>
          <w:rFonts w:ascii="仿宋_GB2312" w:hAnsi="仿宋" w:eastAsia="仿宋_GB2312" w:cs="仿宋_GB2312"/>
          <w:color w:val="000000" w:themeColor="text1"/>
          <w:sz w:val="32"/>
          <w:szCs w:val="32"/>
          <w14:textFill>
            <w14:solidFill>
              <w14:schemeClr w14:val="tx1"/>
            </w14:solidFill>
          </w14:textFill>
        </w:rPr>
      </w:pPr>
    </w:p>
    <w:p>
      <w:pPr>
        <w:spacing w:line="600" w:lineRule="exact"/>
        <w:ind w:right="-523" w:rightChars="-249"/>
        <w:jc w:val="center"/>
        <w:rPr>
          <w:rFonts w:cs="仿宋_GB2312" w:asciiTheme="majorEastAsia" w:hAnsiTheme="majorEastAsia" w:eastAsiaTheme="majorEastAsia"/>
          <w:color w:val="000000" w:themeColor="text1"/>
          <w:sz w:val="44"/>
          <w:szCs w:val="44"/>
          <w14:textFill>
            <w14:solidFill>
              <w14:schemeClr w14:val="tx1"/>
            </w14:solidFill>
          </w14:textFill>
        </w:rPr>
      </w:pPr>
      <w:bookmarkStart w:id="0" w:name="_GoBack"/>
      <w:r>
        <w:rPr>
          <w:rFonts w:hint="eastAsia" w:cs="仿宋_GB2312" w:asciiTheme="majorEastAsia" w:hAnsiTheme="majorEastAsia" w:eastAsiaTheme="majorEastAsia"/>
          <w:color w:val="000000" w:themeColor="text1"/>
          <w:sz w:val="44"/>
          <w:szCs w:val="44"/>
          <w14:textFill>
            <w14:solidFill>
              <w14:schemeClr w14:val="tx1"/>
            </w14:solidFill>
          </w14:textFill>
        </w:rPr>
        <w:t>第八届中国创新创业大赛宁波赛区实施方案</w:t>
      </w:r>
      <w:bookmarkEnd w:id="0"/>
    </w:p>
    <w:p>
      <w:pPr>
        <w:adjustRightInd w:val="0"/>
        <w:snapToGrid w:val="0"/>
        <w:spacing w:line="600" w:lineRule="exact"/>
        <w:rPr>
          <w:rFonts w:ascii="仿宋_GB2312" w:hAnsi="仿宋" w:eastAsia="仿宋_GB2312" w:cs="仿宋_GB2312"/>
          <w:color w:val="000000" w:themeColor="text1"/>
          <w:sz w:val="32"/>
          <w:szCs w:val="32"/>
          <w14:textFill>
            <w14:solidFill>
              <w14:schemeClr w14:val="tx1"/>
            </w14:solidFill>
          </w14:textFill>
        </w:rPr>
      </w:pPr>
    </w:p>
    <w:p>
      <w:pPr>
        <w:adjustRightInd w:val="0"/>
        <w:snapToGrid w:val="0"/>
        <w:spacing w:line="600" w:lineRule="exact"/>
        <w:ind w:firstLine="636"/>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中国创新创业大赛（以下简称“大赛”）由科技部、教育部、财政部等单位共同指导，科技部火炬中心、科技型中小企业技术创新基金管理中心等单位承办，旨在进一步提高我国创新创业水平，紧密加强科技和金融的结合，创新科技项目评价方式，大力弘扬创新创业文化，营造良好的创新创业氛围。希望各有关单位加强对本届大赛的支持力度，充分组织调动辖区内企业积极性，推荐优质项目参赛，力争为我市取得更好的成绩。</w:t>
      </w:r>
    </w:p>
    <w:p>
      <w:pPr>
        <w:adjustRightInd w:val="0"/>
        <w:snapToGrid w:val="0"/>
        <w:spacing w:line="600" w:lineRule="exact"/>
        <w:ind w:left="1" w:firstLine="63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为做好2019年第八届中国创新创业大赛宁波赛区的组织工作，根据科技部的大赛方案，结合我市实际，制定本实施方案。</w:t>
      </w:r>
    </w:p>
    <w:p>
      <w:pPr>
        <w:pStyle w:val="6"/>
        <w:numPr>
          <w:ilvl w:val="2"/>
          <w:numId w:val="1"/>
        </w:numPr>
        <w:adjustRightInd w:val="0"/>
        <w:snapToGrid w:val="0"/>
        <w:spacing w:line="600" w:lineRule="exact"/>
        <w:ind w:left="1418" w:firstLineChars="0"/>
        <w:jc w:val="left"/>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大赛目的</w:t>
      </w:r>
    </w:p>
    <w:p>
      <w:pPr>
        <w:adjustRightInd w:val="0"/>
        <w:snapToGrid w:val="0"/>
        <w:spacing w:line="600" w:lineRule="exact"/>
        <w:ind w:left="1" w:firstLine="63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加快实施创新驱动发展战略，适应和引领经济发展新常态，打造经济发展新引擎，整合创新创业要素，搭建为科技型中小企业服务的平台，引导更广泛的社会资源支持创新创业，推进大众创业、万众创新。</w:t>
      </w:r>
    </w:p>
    <w:p>
      <w:pPr>
        <w:pStyle w:val="6"/>
        <w:numPr>
          <w:ilvl w:val="2"/>
          <w:numId w:val="1"/>
        </w:numPr>
        <w:adjustRightInd w:val="0"/>
        <w:snapToGrid w:val="0"/>
        <w:spacing w:line="600" w:lineRule="exact"/>
        <w:ind w:left="1418" w:firstLineChars="0"/>
        <w:jc w:val="left"/>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大赛主题</w:t>
      </w:r>
    </w:p>
    <w:p>
      <w:pPr>
        <w:adjustRightInd w:val="0"/>
        <w:snapToGrid w:val="0"/>
        <w:spacing w:line="600" w:lineRule="exact"/>
        <w:ind w:left="1" w:firstLine="63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科技创新，成就大业</w:t>
      </w:r>
    </w:p>
    <w:p>
      <w:pPr>
        <w:pStyle w:val="6"/>
        <w:numPr>
          <w:ilvl w:val="2"/>
          <w:numId w:val="1"/>
        </w:numPr>
        <w:adjustRightInd w:val="0"/>
        <w:snapToGrid w:val="0"/>
        <w:spacing w:line="600" w:lineRule="exact"/>
        <w:ind w:left="1418" w:firstLineChars="0"/>
        <w:jc w:val="left"/>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组织机构</w:t>
      </w:r>
    </w:p>
    <w:p>
      <w:pPr>
        <w:spacing w:line="600" w:lineRule="exact"/>
        <w:ind w:firstLine="640" w:firstLineChars="200"/>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主办单位：宁波市科学技术局</w:t>
      </w:r>
    </w:p>
    <w:p>
      <w:pPr>
        <w:spacing w:line="600" w:lineRule="exact"/>
        <w:ind w:firstLine="640" w:firstLineChars="200"/>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承办单位：宁波市科技金融服务中心</w:t>
      </w:r>
    </w:p>
    <w:p>
      <w:pPr>
        <w:spacing w:line="600" w:lineRule="exact"/>
        <w:ind w:firstLine="2240" w:firstLineChars="700"/>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宁波市天使投资俱乐部</w:t>
      </w:r>
    </w:p>
    <w:p>
      <w:pPr>
        <w:spacing w:line="600" w:lineRule="exact"/>
        <w:ind w:left="2158" w:leftChars="304" w:hanging="1520" w:hangingChars="475"/>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协办单位：各</w:t>
      </w:r>
      <w:r>
        <w:rPr>
          <w:rFonts w:hint="eastAsia" w:ascii="仿宋_GB2312" w:hAnsi="仿宋" w:eastAsia="仿宋_GB2312" w:cs="仿宋_GB2312"/>
          <w:sz w:val="32"/>
          <w:szCs w:val="32"/>
        </w:rPr>
        <w:t>区县（市）</w:t>
      </w:r>
      <w:r>
        <w:rPr>
          <w:rFonts w:hint="eastAsia" w:ascii="仿宋_GB2312" w:eastAsia="仿宋_GB2312"/>
          <w:color w:val="000000" w:themeColor="text1"/>
          <w:kern w:val="0"/>
          <w:sz w:val="32"/>
          <w:szCs w:val="32"/>
          <w14:textFill>
            <w14:solidFill>
              <w14:schemeClr w14:val="tx1"/>
            </w14:solidFill>
          </w14:textFill>
        </w:rPr>
        <w:t>科技局</w:t>
      </w:r>
    </w:p>
    <w:p>
      <w:pPr>
        <w:spacing w:line="600" w:lineRule="exact"/>
        <w:ind w:firstLine="2265" w:firstLineChars="708"/>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深圳证券信息有限公司</w:t>
      </w:r>
    </w:p>
    <w:p>
      <w:pPr>
        <w:spacing w:line="600" w:lineRule="exact"/>
        <w:ind w:firstLine="2265" w:firstLineChars="708"/>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 xml:space="preserve">宁波市天使投资引导基金有限公司 </w:t>
      </w:r>
    </w:p>
    <w:p>
      <w:pPr>
        <w:spacing w:line="600" w:lineRule="exact"/>
        <w:ind w:firstLine="2265" w:firstLineChars="708"/>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 xml:space="preserve">宁波镇海天使产业园             </w:t>
      </w:r>
    </w:p>
    <w:p>
      <w:pPr>
        <w:spacing w:line="600" w:lineRule="exact"/>
        <w:ind w:firstLine="2265" w:firstLineChars="708"/>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宁波市创新创业管理服务中心</w:t>
      </w:r>
    </w:p>
    <w:p>
      <w:pPr>
        <w:spacing w:line="600" w:lineRule="exact"/>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 xml:space="preserve">              宁波市科技信息研究院</w:t>
      </w:r>
    </w:p>
    <w:p>
      <w:pPr>
        <w:adjustRightInd w:val="0"/>
        <w:snapToGrid w:val="0"/>
        <w:spacing w:line="600" w:lineRule="exact"/>
        <w:ind w:left="1" w:firstLine="63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支持单位：</w:t>
      </w:r>
      <w:r>
        <w:rPr>
          <w:rFonts w:hint="eastAsia" w:ascii="仿宋_GB2312" w:hAnsi="仿宋" w:eastAsia="仿宋_GB2312" w:cs="仿宋_GB2312"/>
          <w:color w:val="000000" w:themeColor="text1"/>
          <w:sz w:val="32"/>
          <w:szCs w:val="32"/>
          <w14:textFill>
            <w14:solidFill>
              <w14:schemeClr w14:val="tx1"/>
            </w14:solidFill>
          </w14:textFill>
        </w:rPr>
        <w:t>宁波东元创业投资有限公司</w:t>
      </w:r>
    </w:p>
    <w:p>
      <w:pPr>
        <w:widowControl/>
        <w:ind w:firstLine="2240" w:firstLineChars="70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宁波新以创业投资合伙企业</w:t>
      </w:r>
    </w:p>
    <w:p>
      <w:pPr>
        <w:widowControl/>
        <w:ind w:firstLine="2240" w:firstLineChars="70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宁波君润创业投资管理有限公司</w:t>
      </w:r>
    </w:p>
    <w:p>
      <w:pPr>
        <w:widowControl/>
        <w:ind w:firstLine="2240" w:firstLineChars="70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宁波海邦人才创业投资合伙企业</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达晨创业投资有限公司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IDG资本投资顾问有限公司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北极光投资顾问有限公司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上海创业接力基金创业投资管理有限公司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上海支点投资管理有限公司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江苏毅达股权投资基金管理有限公司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永柏资本控股集团有限公司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深圳市启赋资本管理有限公司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南京协立投资管理有限公司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浙商创投股份有限公司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苏州凯风正德投资管理有限公司</w:t>
      </w:r>
    </w:p>
    <w:p>
      <w:pPr>
        <w:widowControl/>
        <w:ind w:left="2268" w:leftChars="1080" w:right="-271" w:rightChars="-129"/>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苏州工业园区元禾原点创业投资管理有限公司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上海容亿投资管理有限公司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苏州国发创业投资控股有限公司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宁波辅仁投资投资管理有限公司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宁波成捷创业投资有限公司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浙江浙大科发股权投资管理有限公司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宁波赛伯乐甬科股权投资合伙企业(有限合伙）</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宁波东方智创投资有限公司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宁波华建风险投资有限公司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浙江蓝源投资管理有限公司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宁波市小村开云创业投资合伙企业（有限合伙）</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宁波市伯乐开图创业投资合伙企业（有限合伙）</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宁波杉杉望新科技创业投资有限公司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宁波欧讯创业投资有限公司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宁波谦石高新创业投资合伙企业</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宁波复生创业投资合伙企业（有限合伙）</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宁波天元伟业投资有限公司</w:t>
      </w:r>
      <w:r>
        <w:rPr>
          <w:rFonts w:hint="eastAsia" w:ascii="宋体" w:hAnsi="宋体" w:cs="宋体"/>
          <w:color w:val="000000" w:themeColor="text1"/>
          <w:sz w:val="32"/>
          <w:szCs w:val="32"/>
          <w14:textFill>
            <w14:solidFill>
              <w14:schemeClr w14:val="tx1"/>
            </w14:solidFill>
          </w14:textFill>
        </w:rPr>
        <w:t> </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浙江以琳创业投资有限公司</w:t>
      </w:r>
      <w:r>
        <w:rPr>
          <w:rFonts w:hint="eastAsia" w:ascii="宋体" w:hAnsi="宋体" w:cs="宋体"/>
          <w:color w:val="000000" w:themeColor="text1"/>
          <w:sz w:val="32"/>
          <w:szCs w:val="32"/>
          <w14:textFill>
            <w14:solidFill>
              <w14:schemeClr w14:val="tx1"/>
            </w14:solidFill>
          </w14:textFill>
        </w:rPr>
        <w:t> </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宁波龙翌领航投资中心（有限合伙）</w:t>
      </w:r>
      <w:r>
        <w:rPr>
          <w:rFonts w:hint="eastAsia" w:ascii="宋体" w:hAnsi="宋体" w:cs="宋体"/>
          <w:color w:val="000000" w:themeColor="text1"/>
          <w:sz w:val="32"/>
          <w:szCs w:val="32"/>
          <w14:textFill>
            <w14:solidFill>
              <w14:schemeClr w14:val="tx1"/>
            </w14:solidFill>
          </w14:textFill>
        </w:rPr>
        <w:t> </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浙江国懿资产管理有限公司</w:t>
      </w:r>
      <w:r>
        <w:rPr>
          <w:rFonts w:hint="eastAsia" w:ascii="宋体" w:hAnsi="宋体" w:cs="宋体"/>
          <w:color w:val="000000" w:themeColor="text1"/>
          <w:sz w:val="32"/>
          <w:szCs w:val="32"/>
          <w14:textFill>
            <w14:solidFill>
              <w14:schemeClr w14:val="tx1"/>
            </w14:solidFill>
          </w14:textFill>
        </w:rPr>
        <w:t> </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宁波英飞伯乐创业投资合伙企业（有限合伙）</w:t>
      </w:r>
      <w:r>
        <w:rPr>
          <w:rFonts w:hint="eastAsia" w:ascii="宋体" w:hAnsi="宋体" w:cs="宋体"/>
          <w:color w:val="000000" w:themeColor="text1"/>
          <w:sz w:val="32"/>
          <w:szCs w:val="32"/>
          <w14:textFill>
            <w14:solidFill>
              <w14:schemeClr w14:val="tx1"/>
            </w14:solidFill>
          </w14:textFill>
        </w:rPr>
        <w:t> </w:t>
      </w:r>
      <w:r>
        <w:rPr>
          <w:rFonts w:hint="eastAsia" w:ascii="仿宋_GB2312" w:hAnsi="仿宋" w:eastAsia="仿宋_GB2312" w:cs="仿宋_GB2312"/>
          <w:color w:val="000000" w:themeColor="text1"/>
          <w:sz w:val="32"/>
          <w:szCs w:val="32"/>
          <w14:textFill>
            <w14:solidFill>
              <w14:schemeClr w14:val="tx1"/>
            </w14:solidFill>
          </w14:textFill>
        </w:rPr>
        <w:br w:type="textWrapping"/>
      </w:r>
      <w:r>
        <w:rPr>
          <w:rFonts w:hint="eastAsia" w:ascii="仿宋_GB2312" w:hAnsi="仿宋" w:eastAsia="仿宋_GB2312" w:cs="仿宋_GB2312"/>
          <w:color w:val="000000" w:themeColor="text1"/>
          <w:sz w:val="32"/>
          <w:szCs w:val="32"/>
          <w14:textFill>
            <w14:solidFill>
              <w14:schemeClr w14:val="tx1"/>
            </w14:solidFill>
          </w14:textFill>
        </w:rPr>
        <w:t>宁波博瑞投资有限公司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宁波开云融汇创业投资合伙企业（有限合伙）</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宁海天使创业投资合伙企业（有限合伙）</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北京国仟共赢创业投资中心（有限合伙）</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宁波赛宝创业投资合伙企业（有限合伙）</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宁波甬港无咖股权投资合伙企业（有限合伙）</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常州青年创业投资中心（有限合伙）</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宁波心元创业投资合伙企业（有限合伙）</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宁波镇海君鼎协力创业投资有限公司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宁波维科投资发展有限公司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杭州既明已未创业投资合伙企业（有限合伙）</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奉化市国创股权投资有限公司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舟山晨誉创业投资有限公司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宁波伯乐壹号投资咨询合伙企业（有限合伙）</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宁波天骥赢和股权投资管理有限公司</w:t>
      </w:r>
    </w:p>
    <w:p>
      <w:pPr>
        <w:widowControl/>
        <w:ind w:left="2268" w:leftChars="1080"/>
        <w:jc w:val="lef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宁波合投壹号投资咨询合伙企业（有限合伙）</w:t>
      </w:r>
    </w:p>
    <w:p>
      <w:pPr>
        <w:pStyle w:val="6"/>
        <w:numPr>
          <w:ilvl w:val="2"/>
          <w:numId w:val="1"/>
        </w:numPr>
        <w:adjustRightInd w:val="0"/>
        <w:snapToGrid w:val="0"/>
        <w:spacing w:line="600" w:lineRule="exact"/>
        <w:ind w:left="1276" w:firstLineChars="0"/>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参赛对象和条件</w:t>
      </w:r>
    </w:p>
    <w:p>
      <w:pPr>
        <w:snapToGrid w:val="0"/>
        <w:spacing w:line="560" w:lineRule="atLeast"/>
        <w:ind w:firstLine="566" w:firstLineChars="177"/>
        <w:rPr>
          <w:rFonts w:ascii="仿宋_GB2312" w:hAnsi="仿宋" w:eastAsia="仿宋_GB2312" w:cs="仿宋_GB2312"/>
          <w:sz w:val="32"/>
          <w:szCs w:val="32"/>
        </w:rPr>
      </w:pPr>
      <w:r>
        <w:rPr>
          <w:rFonts w:hint="eastAsia" w:ascii="仿宋_GB2312" w:hAnsi="仿宋" w:eastAsia="仿宋_GB2312" w:cs="仿宋_GB2312"/>
          <w:sz w:val="32"/>
          <w:szCs w:val="32"/>
        </w:rPr>
        <w:t>1、企业具有创新能力和高成长潜力，主要从事高新技术产品研发、制造、服务等业务，拥有知识产权且无产权纠纷。</w:t>
      </w:r>
    </w:p>
    <w:p>
      <w:pPr>
        <w:snapToGrid w:val="0"/>
        <w:spacing w:line="560" w:lineRule="atLeast"/>
        <w:ind w:firstLine="566" w:firstLineChars="177"/>
        <w:rPr>
          <w:rFonts w:ascii="仿宋_GB2312" w:hAnsi="仿宋" w:eastAsia="仿宋_GB2312" w:cs="仿宋_GB2312"/>
          <w:sz w:val="32"/>
          <w:szCs w:val="32"/>
        </w:rPr>
      </w:pPr>
      <w:r>
        <w:rPr>
          <w:rFonts w:hint="eastAsia" w:ascii="仿宋_GB2312" w:hAnsi="仿宋" w:eastAsia="仿宋_GB2312" w:cs="仿宋_GB2312"/>
          <w:sz w:val="32"/>
          <w:szCs w:val="32"/>
        </w:rPr>
        <w:t>2、企业经营规范、社会信誉良好、无不良记录，且为非上市企业。</w:t>
      </w:r>
    </w:p>
    <w:p>
      <w:pPr>
        <w:snapToGrid w:val="0"/>
        <w:spacing w:line="560" w:lineRule="atLeast"/>
        <w:ind w:left="567" w:leftChars="270"/>
        <w:rPr>
          <w:rFonts w:ascii="仿宋_GB2312" w:hAnsi="仿宋" w:eastAsia="仿宋_GB2312" w:cs="仿宋_GB2312"/>
          <w:sz w:val="32"/>
          <w:szCs w:val="32"/>
        </w:rPr>
      </w:pPr>
      <w:r>
        <w:rPr>
          <w:rFonts w:hint="eastAsia" w:ascii="仿宋_GB2312" w:hAnsi="仿宋" w:eastAsia="仿宋_GB2312" w:cs="仿宋_GB2312"/>
          <w:sz w:val="32"/>
          <w:szCs w:val="32"/>
        </w:rPr>
        <w:t>3、企业2018年营业收入不超过2亿元人民币。</w:t>
      </w:r>
    </w:p>
    <w:p>
      <w:pPr>
        <w:snapToGrid w:val="0"/>
        <w:spacing w:line="560" w:lineRule="atLeast"/>
        <w:ind w:left="567" w:leftChars="270"/>
        <w:rPr>
          <w:rFonts w:ascii="仿宋_GB2312" w:hAnsi="仿宋" w:eastAsia="仿宋_GB2312" w:cs="仿宋_GB2312"/>
          <w:sz w:val="32"/>
          <w:szCs w:val="32"/>
        </w:rPr>
      </w:pPr>
      <w:r>
        <w:rPr>
          <w:rFonts w:hint="eastAsia" w:ascii="仿宋_GB2312" w:hAnsi="仿宋" w:eastAsia="仿宋_GB2312" w:cs="仿宋_GB2312"/>
          <w:sz w:val="32"/>
          <w:szCs w:val="32"/>
        </w:rPr>
        <w:t>4、企业注册成立时间在2009年1月1日（含）以后。</w:t>
      </w:r>
    </w:p>
    <w:p>
      <w:pPr>
        <w:snapToGrid w:val="0"/>
        <w:spacing w:line="560" w:lineRule="atLeast"/>
        <w:ind w:firstLine="566" w:firstLineChars="177"/>
        <w:rPr>
          <w:rFonts w:ascii="仿宋_GB2312" w:hAnsi="仿宋" w:eastAsia="仿宋_GB2312" w:cs="仿宋_GB2312"/>
          <w:sz w:val="32"/>
          <w:szCs w:val="32"/>
        </w:rPr>
      </w:pPr>
      <w:r>
        <w:rPr>
          <w:rFonts w:hint="eastAsia" w:ascii="仿宋_GB2312" w:hAnsi="仿宋" w:eastAsia="仿宋_GB2312" w:cs="仿宋_GB2312"/>
          <w:sz w:val="32"/>
          <w:szCs w:val="32"/>
        </w:rPr>
        <w:t>5、大赛按照初创企业组和成长企业组进行比赛。工商注册时间在2018年1月1日（含）之后的企业方可参加初创企业组比赛，工商注册时间在2017年12月31日（含）之前的企业只能参加成长企业组比赛。</w:t>
      </w:r>
    </w:p>
    <w:p>
      <w:pPr>
        <w:snapToGrid w:val="0"/>
        <w:spacing w:line="560" w:lineRule="atLeast"/>
        <w:ind w:firstLine="566" w:firstLineChars="177"/>
        <w:rPr>
          <w:rFonts w:ascii="仿宋_GB2312" w:hAnsi="仿宋" w:eastAsia="仿宋_GB2312" w:cs="仿宋_GB2312"/>
          <w:sz w:val="32"/>
          <w:szCs w:val="32"/>
        </w:rPr>
      </w:pPr>
      <w:r>
        <w:rPr>
          <w:rFonts w:hint="eastAsia" w:ascii="仿宋_GB2312" w:hAnsi="仿宋" w:eastAsia="仿宋_GB2312" w:cs="仿宋_GB2312"/>
          <w:sz w:val="32"/>
          <w:szCs w:val="32"/>
        </w:rPr>
        <w:t>6、入围全国行业总决赛的成长组企业，必须在省级科技管理部门推荐时获得科技型中小企业的入库登记编号（登记网址：www.innofund.gov.cn）；对初创组企业不作此项要求。</w:t>
      </w:r>
    </w:p>
    <w:p>
      <w:pPr>
        <w:snapToGrid w:val="0"/>
        <w:spacing w:line="560" w:lineRule="atLeast"/>
        <w:ind w:firstLine="566" w:firstLineChars="177"/>
        <w:rPr>
          <w:rFonts w:ascii="仿宋_GB2312" w:hAnsi="仿宋" w:eastAsia="仿宋_GB2312" w:cs="仿宋_GB2312"/>
          <w:sz w:val="32"/>
          <w:szCs w:val="32"/>
        </w:rPr>
      </w:pPr>
      <w:r>
        <w:rPr>
          <w:rFonts w:hint="eastAsia" w:ascii="仿宋_GB2312" w:hAnsi="仿宋" w:eastAsia="仿宋_GB2312" w:cs="仿宋_GB2312"/>
          <w:sz w:val="32"/>
          <w:szCs w:val="32"/>
        </w:rPr>
        <w:t>7、前七届大赛全国总决赛或全国行业总决赛获得一二三名或一二三等奖的企业不参加本届大赛。</w:t>
      </w:r>
    </w:p>
    <w:p>
      <w:pPr>
        <w:pStyle w:val="6"/>
        <w:numPr>
          <w:ilvl w:val="2"/>
          <w:numId w:val="1"/>
        </w:numPr>
        <w:adjustRightInd w:val="0"/>
        <w:snapToGrid w:val="0"/>
        <w:spacing w:line="600" w:lineRule="exact"/>
        <w:ind w:left="1276" w:firstLineChars="0"/>
        <w:rPr>
          <w:rFonts w:ascii="黑体" w:hAnsi="黑体" w:eastAsia="黑体" w:cs="仿宋_GB2312"/>
          <w:sz w:val="32"/>
          <w:szCs w:val="32"/>
        </w:rPr>
      </w:pPr>
      <w:r>
        <w:rPr>
          <w:rFonts w:hint="eastAsia" w:ascii="黑体" w:hAnsi="黑体" w:eastAsia="黑体" w:cs="仿宋_GB2312"/>
          <w:sz w:val="32"/>
          <w:szCs w:val="32"/>
        </w:rPr>
        <w:t>宁波赛区比赛奖项设置</w:t>
      </w:r>
    </w:p>
    <w:p>
      <w:pPr>
        <w:pStyle w:val="6"/>
        <w:numPr>
          <w:ilvl w:val="0"/>
          <w:numId w:val="2"/>
        </w:numPr>
        <w:adjustRightInd w:val="0"/>
        <w:snapToGrid w:val="0"/>
        <w:spacing w:line="600" w:lineRule="exact"/>
        <w:ind w:firstLineChars="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奖项设置</w:t>
      </w:r>
    </w:p>
    <w:p>
      <w:pPr>
        <w:pStyle w:val="6"/>
        <w:adjustRightInd w:val="0"/>
        <w:snapToGrid w:val="0"/>
        <w:spacing w:line="600" w:lineRule="exact"/>
        <w:ind w:firstLine="707" w:firstLineChars="221"/>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大赛设特等奖1名、一等奖3名、二等奖6名、三等奖10名，最佳团队奖、最佳技术奖、最佳模式奖、最具潜力奖等单项奖若干名，颁发奖杯、证书。</w:t>
      </w:r>
    </w:p>
    <w:p>
      <w:pPr>
        <w:pStyle w:val="6"/>
        <w:numPr>
          <w:ilvl w:val="0"/>
          <w:numId w:val="2"/>
        </w:numPr>
        <w:adjustRightInd w:val="0"/>
        <w:snapToGrid w:val="0"/>
        <w:spacing w:line="600" w:lineRule="exact"/>
        <w:ind w:firstLineChars="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奖励额度</w:t>
      </w:r>
    </w:p>
    <w:p>
      <w:pPr>
        <w:pStyle w:val="6"/>
        <w:adjustRightInd w:val="0"/>
        <w:snapToGrid w:val="0"/>
        <w:spacing w:line="600" w:lineRule="exact"/>
        <w:ind w:firstLine="707" w:firstLineChars="221"/>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大赛设立专项奖金200万元，其中特等奖奖励50万元，一等奖各奖励20万元，二等奖各奖励10万元，三等奖各奖励3万元。</w:t>
      </w:r>
    </w:p>
    <w:p>
      <w:pPr>
        <w:pStyle w:val="6"/>
        <w:numPr>
          <w:ilvl w:val="2"/>
          <w:numId w:val="1"/>
        </w:numPr>
        <w:adjustRightInd w:val="0"/>
        <w:snapToGrid w:val="0"/>
        <w:spacing w:line="600" w:lineRule="exact"/>
        <w:ind w:left="1276" w:firstLineChars="0"/>
        <w:rPr>
          <w:rFonts w:ascii="黑体" w:hAnsi="黑体" w:eastAsia="黑体" w:cs="仿宋_GB2312"/>
          <w:sz w:val="32"/>
          <w:szCs w:val="32"/>
        </w:rPr>
      </w:pPr>
      <w:r>
        <w:rPr>
          <w:rFonts w:hint="eastAsia" w:ascii="黑体" w:hAnsi="黑体" w:eastAsia="黑体" w:cs="仿宋_GB2312"/>
          <w:sz w:val="32"/>
          <w:szCs w:val="32"/>
        </w:rPr>
        <w:t>配套支持政策</w:t>
      </w:r>
    </w:p>
    <w:p>
      <w:pPr>
        <w:adjustRightInd w:val="0"/>
        <w:snapToGrid w:val="0"/>
        <w:spacing w:line="600" w:lineRule="exact"/>
        <w:ind w:firstLine="566" w:firstLineChars="177"/>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大赛设贷款授信额度3亿元，天使资本3亿元。</w:t>
      </w:r>
      <w:r>
        <w:rPr>
          <w:rFonts w:hint="eastAsia" w:ascii="仿宋_GB2312" w:hAnsi="仿宋" w:eastAsia="仿宋_GB2312" w:cs="仿宋_GB2312"/>
          <w:b/>
          <w:color w:val="000000" w:themeColor="text1"/>
          <w:sz w:val="32"/>
          <w:szCs w:val="32"/>
          <w14:textFill>
            <w14:solidFill>
              <w14:schemeClr w14:val="tx1"/>
            </w14:solidFill>
          </w14:textFill>
        </w:rPr>
        <w:t xml:space="preserve">  </w:t>
      </w:r>
    </w:p>
    <w:p>
      <w:pPr>
        <w:pStyle w:val="7"/>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（一）支持政策</w:t>
      </w:r>
    </w:p>
    <w:p>
      <w:pPr>
        <w:pStyle w:val="7"/>
        <w:numPr>
          <w:ilvl w:val="0"/>
          <w:numId w:val="3"/>
        </w:numPr>
        <w:rPr>
          <w:rFonts w:ascii="仿宋_GB2312" w:hAnsi="仿宋" w:eastAsia="仿宋_GB2312" w:cs="仿宋_GB2312"/>
          <w:sz w:val="32"/>
          <w:szCs w:val="32"/>
        </w:rPr>
      </w:pPr>
      <w:r>
        <w:rPr>
          <w:rFonts w:hint="eastAsia" w:ascii="仿宋_GB2312" w:hAnsi="仿宋" w:eastAsia="仿宋_GB2312" w:cs="仿宋_GB2312"/>
          <w:color w:val="000000" w:themeColor="text1"/>
          <w:sz w:val="32"/>
          <w:szCs w:val="32"/>
          <w14:textFill>
            <w14:solidFill>
              <w14:schemeClr w14:val="tx1"/>
            </w14:solidFill>
          </w14:textFill>
        </w:rPr>
        <w:t>进入半决赛的企业，给予以下政策支持：</w:t>
      </w:r>
    </w:p>
    <w:p>
      <w:pPr>
        <w:pStyle w:val="6"/>
        <w:numPr>
          <w:ilvl w:val="0"/>
          <w:numId w:val="4"/>
        </w:numPr>
        <w:adjustRightInd w:val="0"/>
        <w:snapToGrid w:val="0"/>
        <w:spacing w:line="600" w:lineRule="exact"/>
        <w:ind w:firstLineChars="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优先获得大赛优秀企业荣誉；</w:t>
      </w:r>
    </w:p>
    <w:p>
      <w:pPr>
        <w:pStyle w:val="6"/>
        <w:numPr>
          <w:ilvl w:val="0"/>
          <w:numId w:val="4"/>
        </w:numPr>
        <w:tabs>
          <w:tab w:val="left" w:pos="993"/>
        </w:tabs>
        <w:adjustRightInd w:val="0"/>
        <w:snapToGrid w:val="0"/>
        <w:spacing w:line="600" w:lineRule="exact"/>
        <w:ind w:left="0" w:firstLine="726" w:firstLineChars="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优先推荐给大赛合作创业投资机构、天使投资机构（人）、合作商业银行等进行融资支持;</w:t>
      </w:r>
    </w:p>
    <w:p>
      <w:pPr>
        <w:pStyle w:val="6"/>
        <w:numPr>
          <w:ilvl w:val="0"/>
          <w:numId w:val="4"/>
        </w:numPr>
        <w:adjustRightInd w:val="0"/>
        <w:snapToGrid w:val="0"/>
        <w:spacing w:line="600" w:lineRule="exact"/>
        <w:ind w:left="0" w:firstLine="726" w:firstLineChars="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免费获得创业导师的创业辅导，优先获得天使风暴辅导名额；</w:t>
      </w:r>
    </w:p>
    <w:p>
      <w:pPr>
        <w:pStyle w:val="6"/>
        <w:numPr>
          <w:ilvl w:val="0"/>
          <w:numId w:val="4"/>
        </w:numPr>
        <w:adjustRightInd w:val="0"/>
        <w:snapToGrid w:val="0"/>
        <w:spacing w:line="600" w:lineRule="exact"/>
        <w:ind w:left="0" w:firstLine="726" w:firstLineChars="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免费获得创业政策、创业融资、商业模式、市场开拓等方面的培训；</w:t>
      </w:r>
    </w:p>
    <w:p>
      <w:pPr>
        <w:pStyle w:val="6"/>
        <w:numPr>
          <w:ilvl w:val="0"/>
          <w:numId w:val="4"/>
        </w:numPr>
        <w:adjustRightInd w:val="0"/>
        <w:snapToGrid w:val="0"/>
        <w:spacing w:line="600" w:lineRule="exact"/>
        <w:ind w:left="0" w:firstLine="726" w:firstLineChars="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优先推选申报宁波市3315、泛3315、优秀创新创业项目等奖励支持；</w:t>
      </w:r>
    </w:p>
    <w:p>
      <w:pPr>
        <w:pStyle w:val="6"/>
        <w:numPr>
          <w:ilvl w:val="0"/>
          <w:numId w:val="4"/>
        </w:numPr>
        <w:adjustRightInd w:val="0"/>
        <w:snapToGrid w:val="0"/>
        <w:spacing w:line="600" w:lineRule="exact"/>
        <w:ind w:left="0" w:firstLine="726" w:firstLineChars="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大赛合作银行优先给予企业贷款授信支持。</w:t>
      </w:r>
    </w:p>
    <w:p>
      <w:pPr>
        <w:pStyle w:val="6"/>
        <w:numPr>
          <w:ilvl w:val="0"/>
          <w:numId w:val="5"/>
        </w:numPr>
        <w:adjustRightInd w:val="0"/>
        <w:snapToGrid w:val="0"/>
        <w:spacing w:line="600" w:lineRule="exact"/>
        <w:ind w:left="0" w:firstLine="726" w:firstLineChars="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进入决赛的企业，除上述支持外，再给予以下政策支持：</w:t>
      </w:r>
    </w:p>
    <w:p>
      <w:pPr>
        <w:pStyle w:val="6"/>
        <w:numPr>
          <w:ilvl w:val="0"/>
          <w:numId w:val="6"/>
        </w:numPr>
        <w:adjustRightInd w:val="0"/>
        <w:snapToGrid w:val="0"/>
        <w:spacing w:line="600" w:lineRule="exact"/>
        <w:ind w:left="0" w:firstLine="660" w:firstLineChars="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决赛将通过深交所信息公司网上平台直播，获奖项目优先推荐至中国创新创业大赛全国行业总决赛路演；</w:t>
      </w:r>
    </w:p>
    <w:p>
      <w:pPr>
        <w:pStyle w:val="6"/>
        <w:numPr>
          <w:ilvl w:val="0"/>
          <w:numId w:val="6"/>
        </w:numPr>
        <w:adjustRightInd w:val="0"/>
        <w:snapToGrid w:val="0"/>
        <w:spacing w:line="600" w:lineRule="exact"/>
        <w:ind w:left="0" w:firstLine="660" w:firstLineChars="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免费获得创业导师一对一辅导，完善商业模式及答辩技巧，提升项目水平；</w:t>
      </w:r>
    </w:p>
    <w:p>
      <w:pPr>
        <w:pStyle w:val="6"/>
        <w:numPr>
          <w:ilvl w:val="0"/>
          <w:numId w:val="6"/>
        </w:numPr>
        <w:adjustRightInd w:val="0"/>
        <w:snapToGrid w:val="0"/>
        <w:spacing w:line="600" w:lineRule="exact"/>
        <w:ind w:left="0" w:firstLine="660" w:firstLineChars="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免费获得主流媒体深度报道与宣传；</w:t>
      </w:r>
    </w:p>
    <w:p>
      <w:pPr>
        <w:pStyle w:val="6"/>
        <w:numPr>
          <w:ilvl w:val="0"/>
          <w:numId w:val="6"/>
        </w:numPr>
        <w:adjustRightInd w:val="0"/>
        <w:snapToGrid w:val="0"/>
        <w:spacing w:line="600" w:lineRule="exact"/>
        <w:ind w:left="0" w:firstLine="660" w:firstLineChars="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优先推荐并参加全国行业总决赛，并获得相应的国家奖励;</w:t>
      </w:r>
    </w:p>
    <w:p>
      <w:pPr>
        <w:pStyle w:val="6"/>
        <w:numPr>
          <w:ilvl w:val="0"/>
          <w:numId w:val="6"/>
        </w:numPr>
        <w:adjustRightInd w:val="0"/>
        <w:snapToGrid w:val="0"/>
        <w:spacing w:line="600" w:lineRule="exact"/>
        <w:ind w:left="0" w:firstLine="660" w:firstLineChars="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符合国家、省、市相关科技计划项目条件的，给予优先推荐和支持。</w:t>
      </w:r>
    </w:p>
    <w:p>
      <w:pPr>
        <w:adjustRightInd w:val="0"/>
        <w:snapToGrid w:val="0"/>
        <w:spacing w:line="60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七、大赛时间安排及流程</w:t>
      </w:r>
    </w:p>
    <w:p>
      <w:pPr>
        <w:pStyle w:val="6"/>
        <w:numPr>
          <w:ilvl w:val="0"/>
          <w:numId w:val="7"/>
        </w:numPr>
        <w:ind w:firstLineChars="0"/>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报名参赛</w:t>
      </w:r>
    </w:p>
    <w:p>
      <w:pPr>
        <w:adjustRightInd w:val="0"/>
        <w:snapToGrid w:val="0"/>
        <w:spacing w:line="60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自评符合参赛条件的企业登录中国创新创业大赛官方网站报名注册，网址www.cxcyds.com。</w:t>
      </w:r>
    </w:p>
    <w:p>
      <w:pPr>
        <w:adjustRightInd w:val="0"/>
        <w:snapToGrid w:val="0"/>
        <w:spacing w:line="600" w:lineRule="exact"/>
        <w:ind w:firstLine="63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注册截止时间：2019年6月10日</w:t>
      </w:r>
    </w:p>
    <w:p>
      <w:pPr>
        <w:adjustRightInd w:val="0"/>
        <w:snapToGrid w:val="0"/>
        <w:spacing w:line="600" w:lineRule="exact"/>
        <w:ind w:firstLine="63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报名截止时间：2019年6月15日</w:t>
      </w:r>
    </w:p>
    <w:p>
      <w:pPr>
        <w:pStyle w:val="6"/>
        <w:numPr>
          <w:ilvl w:val="0"/>
          <w:numId w:val="7"/>
        </w:numPr>
        <w:ind w:firstLineChars="0"/>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审核确认</w:t>
      </w:r>
    </w:p>
    <w:p>
      <w:pPr>
        <w:adjustRightInd w:val="0"/>
        <w:snapToGrid w:val="0"/>
        <w:spacing w:line="600" w:lineRule="exact"/>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 xml:space="preserve">    报名截止后，由赛区组委会根据参赛企业条件，对宁波赛区已报名的企业进行形式审核和资格确认。</w:t>
      </w:r>
    </w:p>
    <w:p>
      <w:pPr>
        <w:adjustRightInd w:val="0"/>
        <w:snapToGrid w:val="0"/>
        <w:spacing w:line="600" w:lineRule="exact"/>
        <w:ind w:firstLine="63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参赛资格确认截止时间：2019年6月底</w:t>
      </w:r>
    </w:p>
    <w:p>
      <w:pPr>
        <w:pStyle w:val="6"/>
        <w:numPr>
          <w:ilvl w:val="0"/>
          <w:numId w:val="7"/>
        </w:numPr>
        <w:ind w:firstLineChars="0"/>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初赛</w:t>
      </w:r>
    </w:p>
    <w:p>
      <w:pPr>
        <w:adjustRightInd w:val="0"/>
        <w:snapToGrid w:val="0"/>
        <w:spacing w:line="600" w:lineRule="exact"/>
        <w:ind w:firstLine="66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组织创投评委和技术评委进行会审，按一定比例，评选晋级半决赛的企业。</w:t>
      </w:r>
    </w:p>
    <w:p>
      <w:pPr>
        <w:adjustRightInd w:val="0"/>
        <w:snapToGrid w:val="0"/>
        <w:spacing w:line="600" w:lineRule="exact"/>
        <w:ind w:firstLine="66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初赛时间：2019年7月</w:t>
      </w:r>
    </w:p>
    <w:p>
      <w:pPr>
        <w:pStyle w:val="6"/>
        <w:numPr>
          <w:ilvl w:val="0"/>
          <w:numId w:val="7"/>
        </w:numPr>
        <w:ind w:firstLineChars="0"/>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半决赛</w:t>
      </w:r>
    </w:p>
    <w:p>
      <w:pPr>
        <w:adjustRightInd w:val="0"/>
        <w:snapToGrid w:val="0"/>
        <w:spacing w:line="600" w:lineRule="exact"/>
        <w:ind w:firstLine="66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（1）天使培训。为所有进入半决赛的企业组织天使培训，为企业提供科技政策、股权法务、知识产权等方面的培训，并帮助企业优化商业计划书，提升答辩技巧。</w:t>
      </w:r>
    </w:p>
    <w:p>
      <w:pPr>
        <w:adjustRightInd w:val="0"/>
        <w:snapToGrid w:val="0"/>
        <w:spacing w:line="600" w:lineRule="exact"/>
        <w:ind w:firstLine="66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（2）现场答辩。组织评审专家对晋级的企业进行现场答辩，根据评分高低，确定晋级决赛的企业。</w:t>
      </w:r>
    </w:p>
    <w:p>
      <w:pPr>
        <w:adjustRightInd w:val="0"/>
        <w:snapToGrid w:val="0"/>
        <w:spacing w:line="600" w:lineRule="exact"/>
        <w:ind w:firstLine="66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半决赛时间：2019年 7月- 8月</w:t>
      </w:r>
    </w:p>
    <w:p>
      <w:pPr>
        <w:pStyle w:val="6"/>
        <w:numPr>
          <w:ilvl w:val="0"/>
          <w:numId w:val="7"/>
        </w:numPr>
        <w:ind w:firstLineChars="0"/>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决赛</w:t>
      </w:r>
    </w:p>
    <w:p>
      <w:pPr>
        <w:adjustRightInd w:val="0"/>
        <w:snapToGrid w:val="0"/>
        <w:spacing w:line="560" w:lineRule="exact"/>
        <w:ind w:right="25" w:rightChars="12"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（1）导师辅导。组织市内外专家就每个项目进行一对一的辅导，完善模式和思路，提高水平。</w:t>
      </w:r>
    </w:p>
    <w:p>
      <w:pPr>
        <w:adjustRightInd w:val="0"/>
        <w:snapToGrid w:val="0"/>
        <w:spacing w:line="560" w:lineRule="exact"/>
        <w:ind w:right="25" w:rightChars="12"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（2）媒体宣传。组织主流媒体为晋级的企业进行深入报道与免费宣传。</w:t>
      </w:r>
    </w:p>
    <w:p>
      <w:pPr>
        <w:adjustRightInd w:val="0"/>
        <w:snapToGrid w:val="0"/>
        <w:spacing w:line="600" w:lineRule="exact"/>
        <w:ind w:right="25" w:rightChars="12" w:firstLine="63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3）决赛评审。组织评审专家对晋级的企业进行现场答辩。现场公布每家参赛企业的评分结果，按得分高低评选出大赛获奖企业，名单当场公布。同时根据国赛名额分配情况择优产生我市晋级全国比赛的企业名单。</w:t>
      </w:r>
    </w:p>
    <w:p>
      <w:pPr>
        <w:adjustRightInd w:val="0"/>
        <w:snapToGrid w:val="0"/>
        <w:spacing w:line="560" w:lineRule="exact"/>
        <w:ind w:right="25" w:rightChars="12"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（4）天使对接。决赛将在深交所信息平台进行现场直播，搭建创业团队与资本方沟通交流的平台，吸引更多的专业投资人和创业团队零距离接触。</w:t>
      </w:r>
    </w:p>
    <w:p>
      <w:pPr>
        <w:adjustRightInd w:val="0"/>
        <w:snapToGrid w:val="0"/>
        <w:spacing w:line="600" w:lineRule="exact"/>
        <w:ind w:firstLine="66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决赛时间：2019年8月</w:t>
      </w:r>
    </w:p>
    <w:p>
      <w:pPr>
        <w:pStyle w:val="6"/>
        <w:numPr>
          <w:ilvl w:val="0"/>
          <w:numId w:val="7"/>
        </w:numPr>
        <w:ind w:firstLineChars="0"/>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国家行业总决赛</w:t>
      </w:r>
    </w:p>
    <w:p>
      <w:pPr>
        <w:pStyle w:val="2"/>
        <w:shd w:val="clear" w:color="auto" w:fill="FFFFFF"/>
        <w:spacing w:before="0" w:beforeAutospacing="0" w:after="0" w:afterAutospacing="0" w:line="420" w:lineRule="atLeast"/>
        <w:ind w:firstLine="707" w:firstLineChars="221"/>
        <w:rPr>
          <w:rFonts w:ascii="仿宋_GB2312" w:hAnsi="仿宋" w:eastAsia="仿宋_GB2312" w:cs="仿宋_GB2312"/>
          <w:color w:val="000000" w:themeColor="text1"/>
          <w:kern w:val="2"/>
          <w:sz w:val="32"/>
          <w:szCs w:val="32"/>
          <w14:textFill>
            <w14:solidFill>
              <w14:schemeClr w14:val="tx1"/>
            </w14:solidFill>
          </w14:textFill>
        </w:rPr>
      </w:pPr>
      <w:r>
        <w:rPr>
          <w:rFonts w:hint="eastAsia" w:ascii="仿宋_GB2312" w:hAnsi="仿宋" w:eastAsia="仿宋_GB2312" w:cs="仿宋_GB2312"/>
          <w:color w:val="000000" w:themeColor="text1"/>
          <w:kern w:val="2"/>
          <w:sz w:val="32"/>
          <w:szCs w:val="32"/>
          <w14:textFill>
            <w14:solidFill>
              <w14:schemeClr w14:val="tx1"/>
            </w14:solidFill>
          </w14:textFill>
        </w:rPr>
        <w:t>总决赛按照电子信息、新材料、新能源及节能环保、生物医药、先进制造、互联网6个行业进行比赛。</w:t>
      </w:r>
    </w:p>
    <w:p>
      <w:pPr>
        <w:pStyle w:val="2"/>
        <w:shd w:val="clear" w:color="auto" w:fill="FFFFFF"/>
        <w:spacing w:before="0" w:beforeAutospacing="0" w:after="0" w:afterAutospacing="0" w:line="420" w:lineRule="atLeast"/>
        <w:ind w:firstLine="707" w:firstLineChars="221"/>
        <w:rPr>
          <w:rFonts w:ascii="仿宋_GB2312" w:hAnsi="仿宋" w:eastAsia="仿宋_GB2312" w:cs="仿宋_GB2312"/>
          <w:color w:val="000000" w:themeColor="text1"/>
          <w:kern w:val="2"/>
          <w:sz w:val="32"/>
          <w:szCs w:val="32"/>
          <w14:textFill>
            <w14:solidFill>
              <w14:schemeClr w14:val="tx1"/>
            </w14:solidFill>
          </w14:textFill>
        </w:rPr>
      </w:pPr>
      <w:r>
        <w:rPr>
          <w:rFonts w:hint="eastAsia" w:ascii="仿宋_GB2312" w:hAnsi="仿宋" w:eastAsia="仿宋_GB2312" w:cs="仿宋_GB2312"/>
          <w:color w:val="000000" w:themeColor="text1"/>
          <w:kern w:val="2"/>
          <w:sz w:val="32"/>
          <w:szCs w:val="32"/>
          <w14:textFill>
            <w14:solidFill>
              <w14:schemeClr w14:val="tx1"/>
            </w14:solidFill>
          </w14:textFill>
        </w:rPr>
        <w:t>总决赛阶段比赛时间：2019年 9月至11月</w:t>
      </w:r>
    </w:p>
    <w:p>
      <w:pPr>
        <w:adjustRightInd w:val="0"/>
        <w:snapToGrid w:val="0"/>
        <w:spacing w:line="600" w:lineRule="exact"/>
        <w:ind w:left="709"/>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八、赛区评审规则</w:t>
      </w:r>
    </w:p>
    <w:p>
      <w:pPr>
        <w:pStyle w:val="6"/>
        <w:numPr>
          <w:ilvl w:val="0"/>
          <w:numId w:val="8"/>
        </w:numPr>
        <w:ind w:firstLineChars="0"/>
        <w:rPr>
          <w:rFonts w:ascii="仿宋_GB2312" w:eastAsia="仿宋_GB2312"/>
          <w:b/>
          <w:color w:val="000000" w:themeColor="text1"/>
          <w:kern w:val="0"/>
          <w:sz w:val="32"/>
          <w:szCs w:val="32"/>
          <w14:textFill>
            <w14:solidFill>
              <w14:schemeClr w14:val="tx1"/>
            </w14:solidFill>
          </w14:textFill>
        </w:rPr>
      </w:pPr>
      <w:r>
        <w:rPr>
          <w:rFonts w:hint="eastAsia" w:ascii="仿宋_GB2312" w:eastAsia="仿宋_GB2312"/>
          <w:b/>
          <w:color w:val="000000" w:themeColor="text1"/>
          <w:kern w:val="0"/>
          <w:sz w:val="32"/>
          <w:szCs w:val="32"/>
          <w14:textFill>
            <w14:solidFill>
              <w14:schemeClr w14:val="tx1"/>
            </w14:solidFill>
          </w14:textFill>
        </w:rPr>
        <w:t>评审原则</w:t>
      </w:r>
    </w:p>
    <w:p>
      <w:pPr>
        <w:ind w:firstLine="646"/>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通过初赛、半决赛、决赛的形式，层层择优，评选出获奖企业。</w:t>
      </w:r>
    </w:p>
    <w:p>
      <w:pPr>
        <w:pStyle w:val="6"/>
        <w:numPr>
          <w:ilvl w:val="0"/>
          <w:numId w:val="8"/>
        </w:numPr>
        <w:adjustRightInd w:val="0"/>
        <w:snapToGrid w:val="0"/>
        <w:spacing w:line="600" w:lineRule="exact"/>
        <w:ind w:firstLineChars="0"/>
        <w:rPr>
          <w:rFonts w:ascii="仿宋_GB2312" w:eastAsia="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评审规则</w:t>
      </w:r>
    </w:p>
    <w:p>
      <w:pPr>
        <w:ind w:firstLine="646"/>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1、初赛采用网上评审形式，主要审核计划书的完整性和合理性，结合对技术、产品、商业模式、经营状况等评判，给予推荐、备选、淘汰三类意见。每家企业由三名评委独立评审，需要至少两名评委予以推荐或备选才能晋级半决赛。</w:t>
      </w:r>
    </w:p>
    <w:p>
      <w:pPr>
        <w:ind w:firstLine="646"/>
        <w:rPr>
          <w:rFonts w:ascii="宋体" w:hAnsi="宋体" w:cs="宋体"/>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2、半决赛采用现场评审形式，按照行业领域分为若干组，每组安排五名评委独立评审，每名评委按照评分标准进行打分并写出评价意见和建议。以五名评委的平均分作为参赛企业的最终得分，按得分排名确定晋级决赛名单</w:t>
      </w:r>
      <w:r>
        <w:rPr>
          <w:rFonts w:hint="eastAsia" w:ascii="宋体" w:hAnsi="宋体" w:cs="宋体"/>
          <w:color w:val="000000" w:themeColor="text1"/>
          <w:kern w:val="0"/>
          <w:sz w:val="32"/>
          <w:szCs w:val="32"/>
          <w14:textFill>
            <w14:solidFill>
              <w14:schemeClr w14:val="tx1"/>
            </w14:solidFill>
          </w14:textFill>
        </w:rPr>
        <w:t>。</w:t>
      </w:r>
    </w:p>
    <w:p>
      <w:pPr>
        <w:ind w:firstLine="646"/>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kern w:val="0"/>
          <w:sz w:val="32"/>
          <w:szCs w:val="32"/>
          <w14:textFill>
            <w14:solidFill>
              <w14:schemeClr w14:val="tx1"/>
            </w14:solidFill>
          </w14:textFill>
        </w:rPr>
        <w:t>3、决赛采用现场答辩形式，入围企业采用集中答辩的形式。每组安排七名评委，每名评委按照评分标准进行打分，以七名评委评分的平均分作为参赛企业的最终得分，成绩现场公布，根据得分排名，现场产生获奖名单。</w:t>
      </w:r>
    </w:p>
    <w:p>
      <w:pPr>
        <w:pStyle w:val="6"/>
        <w:numPr>
          <w:ilvl w:val="0"/>
          <w:numId w:val="8"/>
        </w:numPr>
        <w:ind w:firstLineChars="0"/>
        <w:rPr>
          <w:rFonts w:ascii="仿宋_GB2312" w:eastAsia="仿宋_GB2312"/>
          <w:b/>
          <w:color w:val="000000" w:themeColor="text1"/>
          <w:kern w:val="0"/>
          <w:sz w:val="32"/>
          <w:szCs w:val="32"/>
          <w14:textFill>
            <w14:solidFill>
              <w14:schemeClr w14:val="tx1"/>
            </w14:solidFill>
          </w14:textFill>
        </w:rPr>
      </w:pPr>
      <w:r>
        <w:rPr>
          <w:rFonts w:hint="eastAsia" w:ascii="仿宋_GB2312" w:eastAsia="仿宋_GB2312"/>
          <w:b/>
          <w:color w:val="000000" w:themeColor="text1"/>
          <w:kern w:val="0"/>
          <w:sz w:val="32"/>
          <w:szCs w:val="32"/>
          <w14:textFill>
            <w14:solidFill>
              <w14:schemeClr w14:val="tx1"/>
            </w14:solidFill>
          </w14:textFill>
        </w:rPr>
        <w:t>评审指标</w:t>
      </w:r>
    </w:p>
    <w:p>
      <w:pPr>
        <w:rPr>
          <w:rFonts w:ascii="仿宋_GB2312" w:eastAsia="仿宋_GB2312"/>
          <w:color w:val="000000" w:themeColor="text1"/>
          <w:kern w:val="0"/>
          <w:sz w:val="32"/>
          <w:szCs w:val="32"/>
          <w14:textFill>
            <w14:solidFill>
              <w14:schemeClr w14:val="tx1"/>
            </w14:solidFill>
          </w14:textFill>
        </w:rPr>
      </w:pPr>
      <w:r>
        <w:rPr>
          <w:rFonts w:hint="eastAsia" w:ascii="仿宋_GB2312" w:eastAsia="仿宋_GB2312"/>
          <w:b/>
          <w:color w:val="000000" w:themeColor="text1"/>
          <w:kern w:val="0"/>
          <w:sz w:val="32"/>
          <w:szCs w:val="32"/>
          <w14:textFill>
            <w14:solidFill>
              <w14:schemeClr w14:val="tx1"/>
            </w14:solidFill>
          </w14:textFill>
        </w:rPr>
        <w:t xml:space="preserve">    </w:t>
      </w:r>
      <w:r>
        <w:rPr>
          <w:rFonts w:hint="eastAsia" w:ascii="仿宋_GB2312" w:eastAsia="仿宋_GB2312"/>
          <w:color w:val="000000" w:themeColor="text1"/>
          <w:kern w:val="0"/>
          <w:sz w:val="32"/>
          <w:szCs w:val="32"/>
          <w14:textFill>
            <w14:solidFill>
              <w14:schemeClr w14:val="tx1"/>
            </w14:solidFill>
          </w14:textFill>
        </w:rPr>
        <w:t>总分满分100分。</w:t>
      </w:r>
    </w:p>
    <w:tbl>
      <w:tblPr>
        <w:tblStyle w:val="3"/>
        <w:tblW w:w="8207" w:type="dxa"/>
        <w:jc w:val="center"/>
        <w:tblInd w:w="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360"/>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86" w:type="dxa"/>
            <w:vAlign w:val="center"/>
          </w:tcPr>
          <w:p>
            <w:pPr>
              <w:spacing w:line="440" w:lineRule="exact"/>
              <w:jc w:val="center"/>
              <w:rPr>
                <w:rFonts w:ascii="仿宋_GB2312" w:eastAsia="仿宋_GB2312"/>
                <w:kern w:val="0"/>
                <w:sz w:val="32"/>
                <w:szCs w:val="32"/>
              </w:rPr>
            </w:pPr>
            <w:r>
              <w:rPr>
                <w:rFonts w:hint="eastAsia" w:ascii="仿宋_GB2312" w:eastAsia="仿宋_GB2312"/>
                <w:kern w:val="0"/>
                <w:sz w:val="32"/>
                <w:szCs w:val="32"/>
              </w:rPr>
              <w:t>评分项</w:t>
            </w:r>
          </w:p>
        </w:tc>
        <w:tc>
          <w:tcPr>
            <w:tcW w:w="2360" w:type="dxa"/>
          </w:tcPr>
          <w:p>
            <w:pPr>
              <w:pStyle w:val="8"/>
              <w:widowControl/>
              <w:spacing w:line="520" w:lineRule="exact"/>
              <w:ind w:firstLine="0" w:firstLineChars="0"/>
              <w:jc w:val="center"/>
              <w:rPr>
                <w:rFonts w:ascii="仿宋_GB2312" w:hAnsi="Times New Roman" w:eastAsia="仿宋_GB2312"/>
                <w:kern w:val="0"/>
                <w:sz w:val="32"/>
                <w:szCs w:val="32"/>
              </w:rPr>
            </w:pPr>
            <w:r>
              <w:rPr>
                <w:rFonts w:hint="eastAsia" w:ascii="仿宋_GB2312" w:hAnsi="Times New Roman" w:eastAsia="仿宋_GB2312"/>
                <w:kern w:val="0"/>
                <w:sz w:val="32"/>
                <w:szCs w:val="32"/>
              </w:rPr>
              <w:t>权重系数</w:t>
            </w:r>
          </w:p>
          <w:p>
            <w:pPr>
              <w:pStyle w:val="8"/>
              <w:widowControl/>
              <w:spacing w:line="520" w:lineRule="exact"/>
              <w:ind w:firstLine="0" w:firstLineChars="0"/>
              <w:jc w:val="center"/>
              <w:rPr>
                <w:rFonts w:ascii="仿宋_GB2312" w:hAnsi="Times New Roman" w:eastAsia="仿宋_GB2312"/>
                <w:kern w:val="0"/>
                <w:sz w:val="32"/>
                <w:szCs w:val="32"/>
              </w:rPr>
            </w:pPr>
            <w:r>
              <w:rPr>
                <w:rFonts w:hint="eastAsia" w:ascii="仿宋_GB2312" w:hAnsi="Times New Roman" w:eastAsia="仿宋_GB2312"/>
                <w:kern w:val="0"/>
                <w:sz w:val="32"/>
                <w:szCs w:val="32"/>
              </w:rPr>
              <w:t>（初创组）</w:t>
            </w:r>
          </w:p>
        </w:tc>
        <w:tc>
          <w:tcPr>
            <w:tcW w:w="2361" w:type="dxa"/>
            <w:vAlign w:val="center"/>
          </w:tcPr>
          <w:p>
            <w:pPr>
              <w:spacing w:line="440" w:lineRule="exact"/>
              <w:jc w:val="center"/>
              <w:rPr>
                <w:rFonts w:ascii="仿宋_GB2312" w:eastAsia="仿宋_GB2312"/>
                <w:kern w:val="0"/>
                <w:sz w:val="32"/>
                <w:szCs w:val="32"/>
              </w:rPr>
            </w:pPr>
            <w:r>
              <w:rPr>
                <w:rFonts w:hint="eastAsia" w:ascii="仿宋_GB2312" w:eastAsia="仿宋_GB2312"/>
                <w:kern w:val="0"/>
                <w:sz w:val="32"/>
                <w:szCs w:val="32"/>
              </w:rPr>
              <w:t>权重系数</w:t>
            </w:r>
          </w:p>
          <w:p>
            <w:pPr>
              <w:spacing w:line="440" w:lineRule="exact"/>
              <w:jc w:val="center"/>
              <w:rPr>
                <w:rFonts w:ascii="仿宋_GB2312" w:eastAsia="仿宋_GB2312"/>
                <w:kern w:val="0"/>
                <w:sz w:val="32"/>
                <w:szCs w:val="32"/>
              </w:rPr>
            </w:pPr>
            <w:r>
              <w:rPr>
                <w:rFonts w:hint="eastAsia" w:ascii="仿宋_GB2312" w:eastAsia="仿宋_GB2312"/>
                <w:kern w:val="0"/>
                <w:sz w:val="32"/>
                <w:szCs w:val="32"/>
              </w:rPr>
              <w:t>（成长组）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86" w:type="dxa"/>
          </w:tcPr>
          <w:p>
            <w:pPr>
              <w:pStyle w:val="8"/>
              <w:widowControl/>
              <w:spacing w:line="520" w:lineRule="exact"/>
              <w:ind w:firstLine="0" w:firstLineChars="0"/>
              <w:jc w:val="left"/>
              <w:rPr>
                <w:rFonts w:ascii="仿宋_GB2312" w:hAnsi="Times New Roman" w:eastAsia="仿宋_GB2312"/>
                <w:kern w:val="0"/>
                <w:sz w:val="32"/>
                <w:szCs w:val="32"/>
              </w:rPr>
            </w:pPr>
            <w:r>
              <w:rPr>
                <w:rFonts w:hint="eastAsia" w:ascii="仿宋_GB2312" w:hAnsi="Times New Roman" w:eastAsia="仿宋_GB2312"/>
                <w:kern w:val="0"/>
                <w:sz w:val="32"/>
                <w:szCs w:val="32"/>
              </w:rPr>
              <w:t>技术和产品</w:t>
            </w:r>
          </w:p>
        </w:tc>
        <w:tc>
          <w:tcPr>
            <w:tcW w:w="2360" w:type="dxa"/>
          </w:tcPr>
          <w:p>
            <w:pPr>
              <w:pStyle w:val="8"/>
              <w:widowControl/>
              <w:spacing w:line="520" w:lineRule="exact"/>
              <w:ind w:firstLine="0" w:firstLineChars="0"/>
              <w:jc w:val="center"/>
              <w:rPr>
                <w:rFonts w:ascii="仿宋_GB2312" w:hAnsi="Times New Roman" w:eastAsia="仿宋_GB2312"/>
                <w:kern w:val="0"/>
                <w:sz w:val="32"/>
                <w:szCs w:val="32"/>
              </w:rPr>
            </w:pPr>
            <w:r>
              <w:rPr>
                <w:rFonts w:hint="eastAsia" w:ascii="仿宋_GB2312" w:hAnsi="Times New Roman" w:eastAsia="仿宋_GB2312"/>
                <w:kern w:val="0"/>
                <w:sz w:val="32"/>
                <w:szCs w:val="32"/>
              </w:rPr>
              <w:t>30</w:t>
            </w:r>
          </w:p>
        </w:tc>
        <w:tc>
          <w:tcPr>
            <w:tcW w:w="2361" w:type="dxa"/>
          </w:tcPr>
          <w:p>
            <w:pPr>
              <w:pStyle w:val="8"/>
              <w:widowControl/>
              <w:spacing w:line="520" w:lineRule="exact"/>
              <w:ind w:firstLine="0" w:firstLineChars="0"/>
              <w:jc w:val="center"/>
              <w:rPr>
                <w:rFonts w:ascii="仿宋_GB2312" w:hAnsi="Times New Roman" w:eastAsia="仿宋_GB2312"/>
                <w:kern w:val="0"/>
                <w:sz w:val="32"/>
                <w:szCs w:val="32"/>
              </w:rPr>
            </w:pPr>
            <w:r>
              <w:rPr>
                <w:rFonts w:hint="eastAsia" w:ascii="仿宋_GB2312" w:hAnsi="Times New Roman" w:eastAsia="仿宋_GB2312"/>
                <w:kern w:val="0"/>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86" w:type="dxa"/>
          </w:tcPr>
          <w:p>
            <w:pPr>
              <w:pStyle w:val="8"/>
              <w:widowControl/>
              <w:spacing w:line="520" w:lineRule="exact"/>
              <w:ind w:firstLine="0" w:firstLineChars="0"/>
              <w:jc w:val="left"/>
              <w:rPr>
                <w:rFonts w:ascii="仿宋_GB2312" w:hAnsi="Times New Roman" w:eastAsia="仿宋_GB2312"/>
                <w:kern w:val="0"/>
                <w:sz w:val="32"/>
                <w:szCs w:val="32"/>
              </w:rPr>
            </w:pPr>
            <w:r>
              <w:rPr>
                <w:rFonts w:hint="eastAsia" w:ascii="仿宋_GB2312" w:hAnsi="Times New Roman" w:eastAsia="仿宋_GB2312"/>
                <w:kern w:val="0"/>
                <w:sz w:val="32"/>
                <w:szCs w:val="32"/>
              </w:rPr>
              <w:t>商业模式及实施方案</w:t>
            </w:r>
          </w:p>
        </w:tc>
        <w:tc>
          <w:tcPr>
            <w:tcW w:w="2360" w:type="dxa"/>
          </w:tcPr>
          <w:p>
            <w:pPr>
              <w:pStyle w:val="8"/>
              <w:widowControl/>
              <w:spacing w:line="520" w:lineRule="exact"/>
              <w:ind w:firstLine="0" w:firstLineChars="0"/>
              <w:jc w:val="center"/>
              <w:rPr>
                <w:rFonts w:ascii="仿宋_GB2312" w:hAnsi="Times New Roman" w:eastAsia="仿宋_GB2312"/>
                <w:kern w:val="0"/>
                <w:sz w:val="32"/>
                <w:szCs w:val="32"/>
              </w:rPr>
            </w:pPr>
            <w:r>
              <w:rPr>
                <w:rFonts w:hint="eastAsia" w:ascii="仿宋_GB2312" w:hAnsi="Times New Roman" w:eastAsia="仿宋_GB2312"/>
                <w:kern w:val="0"/>
                <w:sz w:val="32"/>
                <w:szCs w:val="32"/>
              </w:rPr>
              <w:t>15</w:t>
            </w:r>
          </w:p>
        </w:tc>
        <w:tc>
          <w:tcPr>
            <w:tcW w:w="2361" w:type="dxa"/>
          </w:tcPr>
          <w:p>
            <w:pPr>
              <w:pStyle w:val="8"/>
              <w:widowControl/>
              <w:spacing w:line="520" w:lineRule="exact"/>
              <w:ind w:firstLine="0" w:firstLineChars="0"/>
              <w:jc w:val="center"/>
              <w:rPr>
                <w:rFonts w:ascii="仿宋_GB2312" w:hAnsi="Times New Roman" w:eastAsia="仿宋_GB2312"/>
                <w:kern w:val="0"/>
                <w:sz w:val="32"/>
                <w:szCs w:val="32"/>
              </w:rPr>
            </w:pPr>
            <w:r>
              <w:rPr>
                <w:rFonts w:hint="eastAsia" w:ascii="仿宋_GB2312" w:hAnsi="Times New Roman" w:eastAsia="仿宋_GB2312"/>
                <w:kern w:val="0"/>
                <w:sz w:val="32"/>
                <w:szCs w:val="3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486" w:type="dxa"/>
          </w:tcPr>
          <w:p>
            <w:pPr>
              <w:pStyle w:val="8"/>
              <w:widowControl/>
              <w:spacing w:line="520" w:lineRule="exact"/>
              <w:ind w:firstLine="0" w:firstLineChars="0"/>
              <w:jc w:val="left"/>
              <w:rPr>
                <w:rFonts w:ascii="仿宋_GB2312" w:hAnsi="Times New Roman" w:eastAsia="仿宋_GB2312"/>
                <w:kern w:val="0"/>
                <w:sz w:val="32"/>
                <w:szCs w:val="32"/>
              </w:rPr>
            </w:pPr>
            <w:r>
              <w:rPr>
                <w:rFonts w:hint="eastAsia" w:ascii="仿宋_GB2312" w:hAnsi="Times New Roman" w:eastAsia="仿宋_GB2312"/>
                <w:kern w:val="0"/>
                <w:sz w:val="32"/>
                <w:szCs w:val="32"/>
              </w:rPr>
              <w:t>行业及市场</w:t>
            </w:r>
          </w:p>
        </w:tc>
        <w:tc>
          <w:tcPr>
            <w:tcW w:w="2360" w:type="dxa"/>
          </w:tcPr>
          <w:p>
            <w:pPr>
              <w:pStyle w:val="8"/>
              <w:widowControl/>
              <w:spacing w:line="520" w:lineRule="exact"/>
              <w:ind w:firstLine="0" w:firstLineChars="0"/>
              <w:jc w:val="center"/>
              <w:rPr>
                <w:rFonts w:ascii="仿宋_GB2312" w:hAnsi="Times New Roman" w:eastAsia="仿宋_GB2312"/>
                <w:kern w:val="0"/>
                <w:sz w:val="32"/>
                <w:szCs w:val="32"/>
              </w:rPr>
            </w:pPr>
            <w:r>
              <w:rPr>
                <w:rFonts w:hint="eastAsia" w:ascii="仿宋_GB2312" w:hAnsi="Times New Roman" w:eastAsia="仿宋_GB2312"/>
                <w:kern w:val="0"/>
                <w:sz w:val="32"/>
                <w:szCs w:val="32"/>
              </w:rPr>
              <w:t>20</w:t>
            </w:r>
          </w:p>
        </w:tc>
        <w:tc>
          <w:tcPr>
            <w:tcW w:w="2361" w:type="dxa"/>
          </w:tcPr>
          <w:p>
            <w:pPr>
              <w:pStyle w:val="8"/>
              <w:widowControl/>
              <w:spacing w:line="520" w:lineRule="exact"/>
              <w:ind w:firstLine="0" w:firstLineChars="0"/>
              <w:jc w:val="center"/>
              <w:rPr>
                <w:rFonts w:ascii="仿宋_GB2312" w:hAnsi="Times New Roman" w:eastAsia="仿宋_GB2312"/>
                <w:kern w:val="0"/>
                <w:sz w:val="32"/>
                <w:szCs w:val="32"/>
              </w:rPr>
            </w:pPr>
            <w:r>
              <w:rPr>
                <w:rFonts w:hint="eastAsia" w:ascii="仿宋_GB2312" w:hAnsi="Times New Roman" w:eastAsia="仿宋_GB2312"/>
                <w:kern w:val="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86" w:type="dxa"/>
          </w:tcPr>
          <w:p>
            <w:pPr>
              <w:pStyle w:val="8"/>
              <w:widowControl/>
              <w:spacing w:line="520" w:lineRule="exact"/>
              <w:ind w:firstLine="0" w:firstLineChars="0"/>
              <w:jc w:val="left"/>
              <w:rPr>
                <w:rFonts w:ascii="仿宋_GB2312" w:hAnsi="Times New Roman" w:eastAsia="仿宋_GB2312"/>
                <w:kern w:val="0"/>
                <w:sz w:val="32"/>
                <w:szCs w:val="32"/>
              </w:rPr>
            </w:pPr>
            <w:r>
              <w:rPr>
                <w:rFonts w:hint="eastAsia" w:ascii="仿宋_GB2312" w:hAnsi="Times New Roman" w:eastAsia="仿宋_GB2312"/>
                <w:kern w:val="0"/>
                <w:sz w:val="32"/>
                <w:szCs w:val="32"/>
              </w:rPr>
              <w:t>团队</w:t>
            </w:r>
          </w:p>
        </w:tc>
        <w:tc>
          <w:tcPr>
            <w:tcW w:w="2360" w:type="dxa"/>
          </w:tcPr>
          <w:p>
            <w:pPr>
              <w:pStyle w:val="8"/>
              <w:widowControl/>
              <w:spacing w:line="520" w:lineRule="exact"/>
              <w:ind w:firstLine="0" w:firstLineChars="0"/>
              <w:jc w:val="center"/>
              <w:rPr>
                <w:rFonts w:ascii="仿宋_GB2312" w:hAnsi="Times New Roman" w:eastAsia="仿宋_GB2312"/>
                <w:kern w:val="0"/>
                <w:sz w:val="32"/>
                <w:szCs w:val="32"/>
              </w:rPr>
            </w:pPr>
            <w:r>
              <w:rPr>
                <w:rFonts w:hint="eastAsia" w:ascii="仿宋_GB2312" w:hAnsi="Times New Roman" w:eastAsia="仿宋_GB2312"/>
                <w:kern w:val="0"/>
                <w:sz w:val="32"/>
                <w:szCs w:val="32"/>
              </w:rPr>
              <w:t>30</w:t>
            </w:r>
          </w:p>
        </w:tc>
        <w:tc>
          <w:tcPr>
            <w:tcW w:w="2361" w:type="dxa"/>
          </w:tcPr>
          <w:p>
            <w:pPr>
              <w:pStyle w:val="8"/>
              <w:widowControl/>
              <w:spacing w:line="520" w:lineRule="exact"/>
              <w:ind w:firstLine="0" w:firstLineChars="0"/>
              <w:jc w:val="center"/>
              <w:rPr>
                <w:rFonts w:ascii="仿宋_GB2312" w:hAnsi="Times New Roman" w:eastAsia="仿宋_GB2312"/>
                <w:kern w:val="0"/>
                <w:sz w:val="32"/>
                <w:szCs w:val="32"/>
              </w:rPr>
            </w:pPr>
            <w:r>
              <w:rPr>
                <w:rFonts w:hint="eastAsia" w:ascii="仿宋_GB2312" w:hAnsi="Times New Roman" w:eastAsia="仿宋_GB2312"/>
                <w:kern w:val="0"/>
                <w:sz w:val="32"/>
                <w:szCs w:val="3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486" w:type="dxa"/>
          </w:tcPr>
          <w:p>
            <w:pPr>
              <w:pStyle w:val="8"/>
              <w:widowControl/>
              <w:spacing w:line="520" w:lineRule="exact"/>
              <w:ind w:firstLine="0" w:firstLineChars="0"/>
              <w:jc w:val="left"/>
              <w:rPr>
                <w:rFonts w:ascii="仿宋_GB2312" w:hAnsi="Times New Roman" w:eastAsia="仿宋_GB2312"/>
                <w:kern w:val="0"/>
                <w:sz w:val="32"/>
                <w:szCs w:val="32"/>
              </w:rPr>
            </w:pPr>
            <w:r>
              <w:rPr>
                <w:rFonts w:hint="eastAsia" w:ascii="仿宋_GB2312" w:hAnsi="Times New Roman" w:eastAsia="仿宋_GB2312"/>
                <w:kern w:val="0"/>
                <w:sz w:val="32"/>
                <w:szCs w:val="32"/>
              </w:rPr>
              <w:t>财务分析</w:t>
            </w:r>
          </w:p>
        </w:tc>
        <w:tc>
          <w:tcPr>
            <w:tcW w:w="2360" w:type="dxa"/>
          </w:tcPr>
          <w:p>
            <w:pPr>
              <w:pStyle w:val="8"/>
              <w:widowControl/>
              <w:spacing w:line="520" w:lineRule="exact"/>
              <w:ind w:firstLine="0" w:firstLineChars="0"/>
              <w:jc w:val="center"/>
              <w:rPr>
                <w:rFonts w:ascii="仿宋_GB2312" w:hAnsi="Times New Roman" w:eastAsia="仿宋_GB2312"/>
                <w:kern w:val="0"/>
                <w:sz w:val="32"/>
                <w:szCs w:val="32"/>
              </w:rPr>
            </w:pPr>
            <w:r>
              <w:rPr>
                <w:rFonts w:hint="eastAsia" w:ascii="仿宋_GB2312" w:hAnsi="Times New Roman" w:eastAsia="仿宋_GB2312"/>
                <w:kern w:val="0"/>
                <w:sz w:val="32"/>
                <w:szCs w:val="32"/>
              </w:rPr>
              <w:t>5</w:t>
            </w:r>
          </w:p>
        </w:tc>
        <w:tc>
          <w:tcPr>
            <w:tcW w:w="2361" w:type="dxa"/>
          </w:tcPr>
          <w:p>
            <w:pPr>
              <w:pStyle w:val="8"/>
              <w:widowControl/>
              <w:spacing w:line="520" w:lineRule="exact"/>
              <w:ind w:firstLine="0" w:firstLineChars="0"/>
              <w:jc w:val="center"/>
              <w:rPr>
                <w:rFonts w:ascii="仿宋_GB2312" w:hAnsi="Times New Roman" w:eastAsia="仿宋_GB2312"/>
                <w:kern w:val="0"/>
                <w:sz w:val="32"/>
                <w:szCs w:val="32"/>
              </w:rPr>
            </w:pPr>
            <w:r>
              <w:rPr>
                <w:rFonts w:hint="eastAsia" w:ascii="仿宋_GB2312" w:hAnsi="Times New Roman" w:eastAsia="仿宋_GB2312"/>
                <w:kern w:val="0"/>
                <w:sz w:val="32"/>
                <w:szCs w:val="32"/>
              </w:rPr>
              <w:t>10</w:t>
            </w:r>
          </w:p>
        </w:tc>
      </w:tr>
    </w:tbl>
    <w:p>
      <w:pPr>
        <w:pStyle w:val="9"/>
        <w:ind w:left="709"/>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九、宣传培训</w:t>
      </w:r>
    </w:p>
    <w:p>
      <w:pPr>
        <w:pStyle w:val="9"/>
        <w:numPr>
          <w:ilvl w:val="0"/>
          <w:numId w:val="9"/>
        </w:numP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宣传发动</w:t>
      </w:r>
    </w:p>
    <w:p>
      <w:pPr>
        <w:pStyle w:val="9"/>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4月下旬，科技部正式下发中国创新创业大赛通知后，由市科技局牵头启动宁波赛区相关工作，印发《第八届中国创新创业大赛宁波赛区实施方案》，组织召开宁波赛区启动会。</w:t>
      </w:r>
    </w:p>
    <w:p>
      <w:pPr>
        <w:pStyle w:val="9"/>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5 - 6月，进入高校、孵化器、众创空间等创业园区，组织大赛宣讲会，提高大赛知名度，提高企业参赛热情。</w:t>
      </w:r>
    </w:p>
    <w:p>
      <w:pPr>
        <w:pStyle w:val="9"/>
        <w:numPr>
          <w:ilvl w:val="0"/>
          <w:numId w:val="9"/>
        </w:numP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培训辅导</w:t>
      </w:r>
    </w:p>
    <w:p>
      <w:pPr>
        <w:pStyle w:val="9"/>
        <w:ind w:firstLine="566" w:firstLineChars="177"/>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对晋级半决赛的企业就商业计划书的完善、路演技巧、科技政策、法务股权、知识产权等方面，开展培训辅导。</w:t>
      </w:r>
    </w:p>
    <w:p>
      <w:pPr>
        <w:pStyle w:val="9"/>
        <w:numPr>
          <w:ilvl w:val="0"/>
          <w:numId w:val="9"/>
        </w:numP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项目对接</w:t>
      </w:r>
    </w:p>
    <w:p>
      <w:pPr>
        <w:pStyle w:val="9"/>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对进入宁波赛区决赛的参赛企业，根据其意愿，组织相关创投机构（人）进行实地调查以及现场对接。</w:t>
      </w:r>
    </w:p>
    <w:p>
      <w:pPr>
        <w:pStyle w:val="9"/>
        <w:numPr>
          <w:ilvl w:val="0"/>
          <w:numId w:val="9"/>
        </w:numPr>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全程宣传</w:t>
      </w:r>
    </w:p>
    <w:p>
      <w:pPr>
        <w:pStyle w:val="9"/>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结合大赛报名、评选进展，在宁波本地媒体刊发赛事新闻以及软广告；通过宁波科技信息网、宁波日报、甬派、浙江新闻客户端、宁波市天使投资俱乐部、宁波创业企业QQ群、各区县（市）科技信息网、科技企业孵化器网站及时发布赛事信息。</w:t>
      </w:r>
    </w:p>
    <w:p>
      <w:pPr>
        <w:numPr>
          <w:ilvl w:val="0"/>
          <w:numId w:val="10"/>
        </w:numPr>
        <w:adjustRightInd w:val="0"/>
        <w:snapToGrid w:val="0"/>
        <w:spacing w:line="600" w:lineRule="exact"/>
        <w:ind w:left="709"/>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联系方式</w:t>
      </w:r>
    </w:p>
    <w:p>
      <w:pPr>
        <w:numPr>
          <w:ilvl w:val="0"/>
          <w:numId w:val="0"/>
        </w:numPr>
        <w:adjustRightInd w:val="0"/>
        <w:snapToGrid w:val="0"/>
        <w:spacing w:line="600" w:lineRule="exact"/>
        <w:rPr>
          <w:rFonts w:hint="default"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w:t>
      </w:r>
    </w:p>
    <w:tbl>
      <w:tblPr>
        <w:tblStyle w:val="4"/>
        <w:tblW w:w="9174" w:type="dxa"/>
        <w:tblInd w:w="6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7"/>
        <w:gridCol w:w="3545"/>
        <w:gridCol w:w="4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387" w:type="dxa"/>
          </w:tcPr>
          <w:p>
            <w:pPr>
              <w:adjustRightInd w:val="0"/>
              <w:snapToGrid w:val="0"/>
              <w:spacing w:line="600" w:lineRule="exact"/>
              <w:rPr>
                <w:rFonts w:ascii="仿宋_GB2312" w:hAnsi="仿宋" w:eastAsia="仿宋_GB2312" w:cs="仿宋_GB2312"/>
                <w:b/>
                <w:color w:val="3366FF"/>
                <w:sz w:val="32"/>
                <w:szCs w:val="32"/>
              </w:rPr>
            </w:pPr>
            <w:r>
              <w:rPr>
                <w:rFonts w:hint="eastAsia" w:ascii="仿宋_GB2312" w:hAnsi="仿宋" w:eastAsia="仿宋_GB2312" w:cs="仿宋_GB2312"/>
                <w:color w:val="000000" w:themeColor="text1"/>
                <w:kern w:val="0"/>
                <w:sz w:val="32"/>
                <w:szCs w:val="32"/>
                <w:lang w:val="en-US" w:eastAsia="zh-CN"/>
                <w14:textFill>
                  <w14:solidFill>
                    <w14:schemeClr w14:val="tx1"/>
                  </w14:solidFill>
                </w14:textFill>
              </w:rPr>
              <w:t>储善苗</w:t>
            </w:r>
          </w:p>
        </w:tc>
        <w:tc>
          <w:tcPr>
            <w:tcW w:w="3545" w:type="dxa"/>
          </w:tcPr>
          <w:p>
            <w:pPr>
              <w:adjustRightInd w:val="0"/>
              <w:snapToGrid w:val="0"/>
              <w:spacing w:line="600" w:lineRule="exact"/>
              <w:rPr>
                <w:rFonts w:hint="eastAsia" w:ascii="仿宋_GB2312" w:hAnsi="仿宋" w:eastAsia="仿宋_GB2312" w:cs="仿宋_GB2312"/>
                <w:color w:val="3366FF"/>
                <w:sz w:val="32"/>
                <w:szCs w:val="32"/>
                <w:lang w:eastAsia="zh-CN"/>
              </w:rPr>
            </w:pPr>
            <w:r>
              <w:rPr>
                <w:rFonts w:hint="eastAsia" w:ascii="仿宋_GB2312" w:hAnsi="仿宋" w:eastAsia="仿宋_GB2312" w:cs="仿宋_GB2312"/>
                <w:color w:val="000000" w:themeColor="text1"/>
                <w:kern w:val="0"/>
                <w:sz w:val="32"/>
                <w:szCs w:val="32"/>
                <w:lang w:val="en-US" w:eastAsia="zh-CN"/>
                <w14:textFill>
                  <w14:solidFill>
                    <w14:schemeClr w14:val="tx1"/>
                  </w14:solidFill>
                </w14:textFill>
              </w:rPr>
              <w:t>宁海县科技局</w:t>
            </w:r>
          </w:p>
        </w:tc>
        <w:tc>
          <w:tcPr>
            <w:tcW w:w="4242" w:type="dxa"/>
          </w:tcPr>
          <w:p>
            <w:pPr>
              <w:adjustRightInd w:val="0"/>
              <w:snapToGrid w:val="0"/>
              <w:spacing w:line="600" w:lineRule="exact"/>
              <w:rPr>
                <w:rFonts w:hint="default" w:ascii="仿宋_GB2312" w:hAnsi="仿宋" w:eastAsia="仿宋_GB2312" w:cs="仿宋_GB2312"/>
                <w:color w:val="3366FF"/>
                <w:sz w:val="32"/>
                <w:szCs w:val="32"/>
                <w:lang w:val="en-US" w:eastAsia="zh-CN"/>
              </w:rPr>
            </w:pPr>
            <w:r>
              <w:rPr>
                <w:rFonts w:hint="eastAsia" w:ascii="仿宋_GB2312" w:hAnsi="仿宋" w:eastAsia="仿宋_GB2312" w:cs="仿宋_GB2312"/>
                <w:color w:val="000000" w:themeColor="text1"/>
                <w:kern w:val="0"/>
                <w:sz w:val="32"/>
                <w:szCs w:val="32"/>
                <w:lang w:val="en-US" w:eastAsia="zh-CN"/>
                <w14:textFill>
                  <w14:solidFill>
                    <w14:schemeClr w14:val="tx1"/>
                  </w14:solidFill>
                </w14:textFill>
              </w:rPr>
              <w:t>电话：59959757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387" w:type="dxa"/>
          </w:tcPr>
          <w:p>
            <w:pPr>
              <w:adjustRightInd w:val="0"/>
              <w:snapToGrid w:val="0"/>
              <w:spacing w:line="600" w:lineRule="exact"/>
              <w:rPr>
                <w:rFonts w:ascii="仿宋_GB2312" w:hAnsi="仿宋" w:eastAsia="仿宋_GB2312" w:cs="仿宋_GB2312"/>
                <w:color w:val="3366FF"/>
                <w:sz w:val="32"/>
                <w:szCs w:val="32"/>
              </w:rPr>
            </w:pPr>
            <w:r>
              <w:rPr>
                <w:rFonts w:hint="eastAsia" w:ascii="仿宋_GB2312" w:hAnsi="仿宋" w:eastAsia="仿宋_GB2312" w:cs="仿宋_GB2312"/>
                <w:color w:val="000000" w:themeColor="text1"/>
                <w:kern w:val="0"/>
                <w:sz w:val="32"/>
                <w:szCs w:val="32"/>
                <w14:textFill>
                  <w14:solidFill>
                    <w14:schemeClr w14:val="tx1"/>
                  </w14:solidFill>
                </w14:textFill>
              </w:rPr>
              <w:t>孙春来</w:t>
            </w:r>
          </w:p>
        </w:tc>
        <w:tc>
          <w:tcPr>
            <w:tcW w:w="3545" w:type="dxa"/>
          </w:tcPr>
          <w:p>
            <w:pPr>
              <w:adjustRightInd w:val="0"/>
              <w:snapToGrid w:val="0"/>
              <w:spacing w:line="600" w:lineRule="exact"/>
              <w:rPr>
                <w:rFonts w:ascii="仿宋_GB2312" w:hAnsi="仿宋" w:eastAsia="仿宋_GB2312" w:cs="仿宋_GB2312"/>
                <w:color w:val="3366FF"/>
                <w:sz w:val="32"/>
                <w:szCs w:val="32"/>
              </w:rPr>
            </w:pPr>
            <w:r>
              <w:rPr>
                <w:rFonts w:hint="eastAsia" w:ascii="仿宋_GB2312" w:hAnsi="仿宋" w:eastAsia="仿宋_GB2312" w:cs="仿宋_GB2312"/>
                <w:color w:val="000000" w:themeColor="text1"/>
                <w:kern w:val="0"/>
                <w:sz w:val="32"/>
                <w:szCs w:val="32"/>
                <w14:textFill>
                  <w14:solidFill>
                    <w14:schemeClr w14:val="tx1"/>
                  </w14:solidFill>
                </w14:textFill>
              </w:rPr>
              <w:t>宁波市科技局合作处</w:t>
            </w:r>
          </w:p>
        </w:tc>
        <w:tc>
          <w:tcPr>
            <w:tcW w:w="4242" w:type="dxa"/>
          </w:tcPr>
          <w:p>
            <w:pPr>
              <w:adjustRightInd w:val="0"/>
              <w:snapToGrid w:val="0"/>
              <w:spacing w:line="600" w:lineRule="exact"/>
              <w:rPr>
                <w:rFonts w:ascii="仿宋_GB2312" w:hAnsi="仿宋" w:eastAsia="仿宋_GB2312" w:cs="仿宋_GB2312"/>
                <w:color w:val="3366FF"/>
                <w:sz w:val="32"/>
                <w:szCs w:val="32"/>
              </w:rPr>
            </w:pPr>
            <w:r>
              <w:rPr>
                <w:rFonts w:hint="eastAsia" w:ascii="仿宋_GB2312" w:hAnsi="仿宋" w:eastAsia="仿宋_GB2312" w:cs="仿宋_GB2312"/>
                <w:color w:val="000000" w:themeColor="text1"/>
                <w:kern w:val="0"/>
                <w:sz w:val="32"/>
                <w:szCs w:val="32"/>
                <w14:textFill>
                  <w14:solidFill>
                    <w14:schemeClr w14:val="tx1"/>
                  </w14:solidFill>
                </w14:textFill>
              </w:rPr>
              <w:t>电话：</w:t>
            </w:r>
            <w:r>
              <w:rPr>
                <w:rFonts w:ascii="仿宋_GB2312" w:hAnsi="仿宋" w:eastAsia="仿宋_GB2312" w:cs="仿宋_GB2312"/>
                <w:color w:val="000000" w:themeColor="text1"/>
                <w:kern w:val="0"/>
                <w:sz w:val="32"/>
                <w:szCs w:val="32"/>
                <w14:textFill>
                  <w14:solidFill>
                    <w14:schemeClr w14:val="tx1"/>
                  </w14:solidFill>
                </w14:textFill>
              </w:rPr>
              <w:t>89187181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387" w:type="dxa"/>
          </w:tcPr>
          <w:p>
            <w:pPr>
              <w:adjustRightInd w:val="0"/>
              <w:snapToGrid w:val="0"/>
              <w:spacing w:line="600" w:lineRule="exact"/>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庄  园</w:t>
            </w:r>
          </w:p>
        </w:tc>
        <w:tc>
          <w:tcPr>
            <w:tcW w:w="3545" w:type="dxa"/>
          </w:tcPr>
          <w:p>
            <w:pPr>
              <w:adjustRightInd w:val="0"/>
              <w:snapToGrid w:val="0"/>
              <w:spacing w:line="600" w:lineRule="exact"/>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宁波市天使投资俱乐部</w:t>
            </w:r>
          </w:p>
        </w:tc>
        <w:tc>
          <w:tcPr>
            <w:tcW w:w="4242" w:type="dxa"/>
          </w:tcPr>
          <w:p>
            <w:pPr>
              <w:adjustRightInd w:val="0"/>
              <w:snapToGrid w:val="0"/>
              <w:spacing w:line="600" w:lineRule="exact"/>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电话：13806677278</w:t>
            </w:r>
          </w:p>
        </w:tc>
      </w:tr>
    </w:tbl>
    <w:p>
      <w:pPr>
        <w:adjustRightInd w:val="0"/>
        <w:snapToGrid w:val="0"/>
        <w:spacing w:line="600" w:lineRule="exact"/>
        <w:ind w:firstLine="640" w:firstLineChars="200"/>
        <w:rPr>
          <w:rFonts w:ascii="仿宋_GB2312" w:hAnsi="仿宋" w:eastAsia="仿宋_GB2312" w:cs="仿宋_GB2312"/>
          <w:sz w:val="32"/>
          <w:szCs w:val="32"/>
        </w:rPr>
      </w:pPr>
      <w:r>
        <w:rPr>
          <w:rFonts w:hint="eastAsia" w:ascii="仿宋_GB2312" w:hAnsi="仿宋" w:eastAsia="仿宋_GB2312" w:cs="仿宋_GB2312"/>
          <w:color w:val="000000" w:themeColor="text1"/>
          <w:sz w:val="32"/>
          <w:szCs w:val="32"/>
          <w14:textFill>
            <w14:solidFill>
              <w14:schemeClr w14:val="tx1"/>
            </w14:solidFill>
          </w14:textFill>
        </w:rPr>
        <w:t>报名咨询电话：0574-</w:t>
      </w:r>
      <w:r>
        <w:rPr>
          <w:rFonts w:hint="eastAsia" w:ascii="仿宋_GB2312" w:hAnsi="仿宋" w:eastAsia="仿宋_GB2312" w:cs="仿宋_GB2312"/>
          <w:sz w:val="32"/>
          <w:szCs w:val="32"/>
        </w:rPr>
        <w:t>87910911  0574-87910922</w:t>
      </w:r>
    </w:p>
    <w:p>
      <w:pPr>
        <w:adjustRightInd w:val="0"/>
        <w:snapToGrid w:val="0"/>
        <w:spacing w:line="60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大赛公众号：宁波市天使投资俱乐部</w:t>
      </w:r>
    </w:p>
    <w:p>
      <w:pPr>
        <w:adjustRightInd w:val="0"/>
        <w:snapToGrid w:val="0"/>
        <w:spacing w:line="60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大赛咨询微信群：添加NINALvwj  备注“2019大赛 ”</w:t>
      </w:r>
    </w:p>
    <w:p>
      <w:pPr>
        <w:adjustRightInd w:val="0"/>
        <w:snapToGrid w:val="0"/>
        <w:spacing w:line="60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大赛咨询QQ群：</w:t>
      </w:r>
      <w:r>
        <w:rPr>
          <w:rFonts w:ascii="仿宋_GB2312" w:hAnsi="仿宋" w:eastAsia="仿宋_GB2312" w:cs="仿宋_GB2312"/>
          <w:color w:val="000000" w:themeColor="text1"/>
          <w:sz w:val="32"/>
          <w:szCs w:val="32"/>
          <w14:textFill>
            <w14:solidFill>
              <w14:schemeClr w14:val="tx1"/>
            </w14:solidFill>
          </w14:textFill>
        </w:rPr>
        <w:t>732905966</w:t>
      </w:r>
    </w:p>
    <w:p>
      <w:pPr>
        <w:adjustRightInd w:val="0"/>
        <w:snapToGrid w:val="0"/>
        <w:spacing w:line="600" w:lineRule="exact"/>
        <w:ind w:firstLine="640" w:firstLineChars="200"/>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大赛工作QQ群：</w:t>
      </w:r>
      <w:r>
        <w:rPr>
          <w:rFonts w:ascii="仿宋_GB2312" w:hAnsi="仿宋" w:eastAsia="仿宋_GB2312" w:cs="仿宋_GB2312"/>
          <w:color w:val="000000" w:themeColor="text1"/>
          <w:sz w:val="32"/>
          <w:szCs w:val="32"/>
          <w14:textFill>
            <w14:solidFill>
              <w14:schemeClr w14:val="tx1"/>
            </w14:solidFill>
          </w14:textFill>
        </w:rPr>
        <w:t>698781123</w:t>
      </w:r>
    </w:p>
    <w:p>
      <w:pPr>
        <w:widowControl/>
        <w:ind w:firstLine="315" w:firstLineChars="150"/>
        <w:jc w:val="left"/>
      </w:pPr>
      <w:r>
        <w:rPr>
          <w:rFonts w:hint="eastAsia"/>
        </w:rPr>
        <w:t xml:space="preserve">                      </w:t>
      </w:r>
    </w:p>
    <w:p>
      <w:pPr>
        <w:widowControl/>
        <w:ind w:firstLine="735" w:firstLineChars="350"/>
        <w:jc w:val="left"/>
      </w:pPr>
      <w:r>
        <w:drawing>
          <wp:anchor distT="0" distB="0" distL="114300" distR="114300" simplePos="0" relativeHeight="251657216" behindDoc="0" locked="0" layoutInCell="1" allowOverlap="1">
            <wp:simplePos x="0" y="0"/>
            <wp:positionH relativeFrom="column">
              <wp:posOffset>571500</wp:posOffset>
            </wp:positionH>
            <wp:positionV relativeFrom="paragraph">
              <wp:posOffset>113030</wp:posOffset>
            </wp:positionV>
            <wp:extent cx="1997710" cy="1944370"/>
            <wp:effectExtent l="0" t="0" r="2540" b="17780"/>
            <wp:wrapNone/>
            <wp:docPr id="1" name="图片 1" descr="644369ec0a0c262d6ad34d52e15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44369ec0a0c262d6ad34d52e153158"/>
                    <pic:cNvPicPr>
                      <a:picLocks noChangeAspect="1"/>
                    </pic:cNvPicPr>
                  </pic:nvPicPr>
                  <pic:blipFill>
                    <a:blip r:embed="rId4" cstate="print"/>
                    <a:srcRect l="8796" t="26092" r="8962" b="13733"/>
                    <a:stretch>
                      <a:fillRect/>
                    </a:stretch>
                  </pic:blipFill>
                  <pic:spPr>
                    <a:xfrm>
                      <a:off x="0" y="0"/>
                      <a:ext cx="1997710" cy="1944370"/>
                    </a:xfrm>
                    <a:prstGeom prst="rect">
                      <a:avLst/>
                    </a:prstGeom>
                  </pic:spPr>
                </pic:pic>
              </a:graphicData>
            </a:graphic>
          </wp:anchor>
        </w:drawing>
      </w:r>
    </w:p>
    <w:p>
      <w:pPr>
        <w:widowControl/>
        <w:ind w:firstLine="735" w:firstLineChars="350"/>
        <w:jc w:val="left"/>
      </w:pPr>
      <w:r>
        <w:drawing>
          <wp:anchor distT="0" distB="0" distL="114300" distR="114300" simplePos="0" relativeHeight="251656192" behindDoc="0" locked="0" layoutInCell="1" allowOverlap="1">
            <wp:simplePos x="0" y="0"/>
            <wp:positionH relativeFrom="column">
              <wp:posOffset>3086100</wp:posOffset>
            </wp:positionH>
            <wp:positionV relativeFrom="paragraph">
              <wp:posOffset>-152400</wp:posOffset>
            </wp:positionV>
            <wp:extent cx="1993900" cy="1990725"/>
            <wp:effectExtent l="0" t="0" r="6350" b="9525"/>
            <wp:wrapNone/>
            <wp:docPr id="2" name="图片 3" descr="俱乐部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俱乐部二维码"/>
                    <pic:cNvPicPr>
                      <a:picLocks noChangeAspect="1"/>
                    </pic:cNvPicPr>
                  </pic:nvPicPr>
                  <pic:blipFill>
                    <a:blip r:embed="rId5" cstate="print"/>
                    <a:stretch>
                      <a:fillRect/>
                    </a:stretch>
                  </pic:blipFill>
                  <pic:spPr>
                    <a:xfrm>
                      <a:off x="0" y="0"/>
                      <a:ext cx="1993900" cy="1990725"/>
                    </a:xfrm>
                    <a:prstGeom prst="rect">
                      <a:avLst/>
                    </a:prstGeom>
                    <a:noFill/>
                    <a:ln w="9525">
                      <a:noFill/>
                    </a:ln>
                  </pic:spPr>
                </pic:pic>
              </a:graphicData>
            </a:graphic>
          </wp:anchor>
        </w:drawing>
      </w:r>
      <w:r>
        <mc:AlternateContent>
          <mc:Choice Requires="wps">
            <w:drawing>
              <wp:anchor distT="0" distB="0" distL="114300" distR="114300" simplePos="0" relativeHeight="251658240" behindDoc="0" locked="0" layoutInCell="1" allowOverlap="1">
                <wp:simplePos x="0" y="0"/>
                <wp:positionH relativeFrom="column">
                  <wp:posOffset>2817495</wp:posOffset>
                </wp:positionH>
                <wp:positionV relativeFrom="paragraph">
                  <wp:posOffset>1780540</wp:posOffset>
                </wp:positionV>
                <wp:extent cx="2591435" cy="487680"/>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91435" cy="487680"/>
                        </a:xfrm>
                        <a:prstGeom prst="rect">
                          <a:avLst/>
                        </a:prstGeom>
                        <a:noFill/>
                        <a:ln>
                          <a:noFill/>
                        </a:ln>
                      </wps:spPr>
                      <wps:txbx>
                        <w:txbxContent>
                          <w:p>
                            <w:pPr>
                              <w:jc w:val="center"/>
                              <w:rPr>
                                <w:rFonts w:ascii="微软雅黑" w:hAnsi="微软雅黑" w:eastAsia="微软雅黑"/>
                                <w:sz w:val="28"/>
                                <w:szCs w:val="28"/>
                              </w:rPr>
                            </w:pPr>
                            <w:r>
                              <w:rPr>
                                <w:rFonts w:hint="eastAsia" w:ascii="微软雅黑" w:hAnsi="微软雅黑" w:eastAsia="微软雅黑"/>
                                <w:sz w:val="28"/>
                                <w:szCs w:val="28"/>
                              </w:rPr>
                              <w:t>宁波市天使投资俱乐部</w:t>
                            </w:r>
                          </w:p>
                        </w:txbxContent>
                      </wps:txbx>
                      <wps:bodyPr rot="0" vert="horz" wrap="square" lIns="91440" tIns="45720" rIns="91440" bIns="45720" anchor="t" anchorCtr="0" upright="1">
                        <a:spAutoFit/>
                      </wps:bodyPr>
                    </wps:wsp>
                  </a:graphicData>
                </a:graphic>
              </wp:anchor>
            </w:drawing>
          </mc:Choice>
          <mc:Fallback>
            <w:pict>
              <v:shape id="Text Box 2" o:spid="_x0000_s1026" o:spt="202" type="#_x0000_t202" style="position:absolute;left:0pt;margin-left:221.85pt;margin-top:140.2pt;height:38.4pt;width:204.05pt;z-index:251658240;mso-width-relative:page;mso-height-relative:page;" filled="f" stroked="f" coordsize="21600,21600" o:gfxdata="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X0SnNkAAAALAQAADwAAAAAAAAABACAAAAAiAAAAZHJzL2Rvd25yZXYueG1sUEsBAhQAFAAAAAgA&#10;h07iQMi8nd7rAQAAxgMAAA4AAAAAAAAAAQAgAAAAKAEAAGRycy9lMm9Eb2MueG1sUEsFBgAAAAAG&#10;AAYAWQEAAIUFAAAAAA==&#10;">
                <v:fill on="f" focussize="0,0"/>
                <v:stroke on="f"/>
                <v:imagedata o:title=""/>
                <o:lock v:ext="edit" aspectratio="f"/>
                <v:textbox style="mso-fit-shape-to-text:t;">
                  <w:txbxContent>
                    <w:p>
                      <w:pPr>
                        <w:jc w:val="center"/>
                        <w:rPr>
                          <w:rFonts w:ascii="微软雅黑" w:hAnsi="微软雅黑" w:eastAsia="微软雅黑"/>
                          <w:sz w:val="28"/>
                          <w:szCs w:val="28"/>
                        </w:rPr>
                      </w:pPr>
                      <w:r>
                        <w:rPr>
                          <w:rFonts w:hint="eastAsia" w:ascii="微软雅黑" w:hAnsi="微软雅黑" w:eastAsia="微软雅黑"/>
                          <w:sz w:val="28"/>
                          <w:szCs w:val="28"/>
                        </w:rPr>
                        <w:t>宁波市天使投资俱乐部</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1894840</wp:posOffset>
                </wp:positionV>
                <wp:extent cx="2303145" cy="421640"/>
                <wp:effectExtent l="0" t="0" r="0" b="0"/>
                <wp:wrapNone/>
                <wp:docPr id="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303145" cy="421640"/>
                        </a:xfrm>
                        <a:prstGeom prst="rect">
                          <a:avLst/>
                        </a:prstGeom>
                        <a:noFill/>
                        <a:ln>
                          <a:noFill/>
                        </a:ln>
                      </wps:spPr>
                      <wps:txbx>
                        <w:txbxContent>
                          <w:p>
                            <w:pPr>
                              <w:spacing w:line="260" w:lineRule="exact"/>
                              <w:jc w:val="center"/>
                              <w:rPr>
                                <w:rFonts w:ascii="微软雅黑" w:hAnsi="微软雅黑" w:eastAsia="微软雅黑"/>
                                <w:sz w:val="24"/>
                              </w:rPr>
                            </w:pPr>
                            <w:r>
                              <w:rPr>
                                <w:rFonts w:hint="eastAsia" w:ascii="微软雅黑" w:hAnsi="微软雅黑" w:eastAsia="微软雅黑"/>
                                <w:sz w:val="24"/>
                              </w:rPr>
                              <w:t>2019第八届中国创新创业大赛宁波赛区启动会工作群</w:t>
                            </w:r>
                          </w:p>
                        </w:txbxContent>
                      </wps:txbx>
                      <wps:bodyPr rot="0" vert="horz" wrap="square" lIns="91440" tIns="45720" rIns="91440" bIns="45720" anchor="t" anchorCtr="0" upright="1">
                        <a:spAutoFit/>
                      </wps:bodyPr>
                    </wps:wsp>
                  </a:graphicData>
                </a:graphic>
              </wp:anchor>
            </w:drawing>
          </mc:Choice>
          <mc:Fallback>
            <w:pict>
              <v:shape id="文本框 13" o:spid="_x0000_s1026" o:spt="202" type="#_x0000_t202" style="position:absolute;left:0pt;margin-left:26.25pt;margin-top:149.2pt;height:33.2pt;width:181.35pt;z-index:251659264;mso-width-relative:page;mso-height-relative:page;" filled="f" stroked="f" coordsize="21600,21600" o:gfxdata="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osvovYAAAACgEAAA8AAAAAAAAAAQAgAAAAIgAAAGRycy9kb3ducmV2&#10;LnhtbFBLAQIUABQAAAAIAIdO4kAqmQUQ/AEAAMgDAAAOAAAAAAAAAAEAIAAAACcBAABkcnMvZTJv&#10;RG9jLnhtbFBLBQYAAAAABgAGAFkBAACVBQAAAAA=&#10;">
                <v:fill on="f" focussize="0,0"/>
                <v:stroke on="f"/>
                <v:imagedata o:title=""/>
                <o:lock v:ext="edit" aspectratio="f"/>
                <v:textbox style="mso-fit-shape-to-text:t;">
                  <w:txbxContent>
                    <w:p>
                      <w:pPr>
                        <w:spacing w:line="260" w:lineRule="exact"/>
                        <w:jc w:val="center"/>
                        <w:rPr>
                          <w:rFonts w:ascii="微软雅黑" w:hAnsi="微软雅黑" w:eastAsia="微软雅黑"/>
                          <w:sz w:val="24"/>
                        </w:rPr>
                      </w:pPr>
                      <w:r>
                        <w:rPr>
                          <w:rFonts w:hint="eastAsia" w:ascii="微软雅黑" w:hAnsi="微软雅黑" w:eastAsia="微软雅黑"/>
                          <w:sz w:val="24"/>
                        </w:rPr>
                        <w:t>2019第八届中国创新创业大赛宁波赛区启动会工作群</w:t>
                      </w:r>
                    </w:p>
                  </w:txbxContent>
                </v:textbox>
              </v:shape>
            </w:pict>
          </mc:Fallback>
        </mc:AlternateContent>
      </w:r>
      <w: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7273C"/>
    <w:multiLevelType w:val="singleLevel"/>
    <w:tmpl w:val="2247273C"/>
    <w:lvl w:ilvl="0" w:tentative="0">
      <w:start w:val="10"/>
      <w:numFmt w:val="chineseCounting"/>
      <w:suff w:val="nothing"/>
      <w:lvlText w:val="%1、"/>
      <w:lvlJc w:val="left"/>
      <w:rPr>
        <w:rFonts w:hint="eastAsia"/>
      </w:rPr>
    </w:lvl>
  </w:abstractNum>
  <w:abstractNum w:abstractNumId="1">
    <w:nsid w:val="264857D3"/>
    <w:multiLevelType w:val="multilevel"/>
    <w:tmpl w:val="264857D3"/>
    <w:lvl w:ilvl="0" w:tentative="0">
      <w:start w:val="1"/>
      <w:numFmt w:val="decimal"/>
      <w:lvlText w:val="%1、"/>
      <w:lvlJc w:val="left"/>
      <w:pPr>
        <w:ind w:left="1060" w:hanging="4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6FC3ADE"/>
    <w:multiLevelType w:val="multilevel"/>
    <w:tmpl w:val="26FC3ADE"/>
    <w:lvl w:ilvl="0" w:tentative="0">
      <w:start w:val="1"/>
      <w:numFmt w:val="decimal"/>
      <w:lvlText w:val="（%1）"/>
      <w:lvlJc w:val="left"/>
      <w:pPr>
        <w:ind w:left="1931" w:hanging="1080"/>
      </w:pPr>
    </w:lvl>
    <w:lvl w:ilvl="1" w:tentative="0">
      <w:start w:val="1"/>
      <w:numFmt w:val="decimal"/>
      <w:lvlText w:val="%2."/>
      <w:lvlJc w:val="left"/>
      <w:pPr>
        <w:ind w:left="1500" w:hanging="360"/>
      </w:pPr>
      <w:rPr>
        <w:rFonts w:hint="eastAsia" w:ascii="仿宋_GB2312" w:eastAsia="仿宋_GB2312" w:cs="仿宋_GB2312"/>
      </w:rPr>
    </w:lvl>
    <w:lvl w:ilvl="2" w:tentative="0">
      <w:start w:val="1"/>
      <w:numFmt w:val="japaneseCounting"/>
      <w:lvlText w:val="%3、"/>
      <w:lvlJc w:val="left"/>
      <w:pPr>
        <w:ind w:left="2340" w:hanging="72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DC5217E"/>
    <w:multiLevelType w:val="multilevel"/>
    <w:tmpl w:val="2DC5217E"/>
    <w:lvl w:ilvl="0" w:tentative="0">
      <w:start w:val="1"/>
      <w:numFmt w:val="japaneseCounting"/>
      <w:lvlText w:val="（%1）"/>
      <w:lvlJc w:val="left"/>
      <w:pPr>
        <w:ind w:left="1726" w:hanging="10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0FF7CC3"/>
    <w:multiLevelType w:val="multilevel"/>
    <w:tmpl w:val="50FF7CC3"/>
    <w:lvl w:ilvl="0" w:tentative="0">
      <w:start w:val="1"/>
      <w:numFmt w:val="japaneseCounting"/>
      <w:lvlText w:val="（%1）"/>
      <w:lvlJc w:val="left"/>
      <w:pPr>
        <w:ind w:left="1726" w:hanging="10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FA74825"/>
    <w:multiLevelType w:val="multilevel"/>
    <w:tmpl w:val="5FA74825"/>
    <w:lvl w:ilvl="0" w:tentative="0">
      <w:start w:val="1"/>
      <w:numFmt w:val="decimal"/>
      <w:lvlText w:val="（%1）"/>
      <w:lvlJc w:val="left"/>
      <w:pPr>
        <w:ind w:left="1129"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1914124"/>
    <w:multiLevelType w:val="multilevel"/>
    <w:tmpl w:val="61914124"/>
    <w:lvl w:ilvl="0" w:tentative="0">
      <w:start w:val="1"/>
      <w:numFmt w:val="decimal"/>
      <w:lvlText w:val="%1、"/>
      <w:lvlJc w:val="left"/>
      <w:pPr>
        <w:ind w:left="1060" w:hanging="420"/>
      </w:pPr>
      <w:rPr>
        <w:rFonts w:hint="eastAsia" w:ascii="仿宋_GB2312" w:eastAsia="仿宋_GB2312" w:cs="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75A5081B"/>
    <w:multiLevelType w:val="multilevel"/>
    <w:tmpl w:val="75A5081B"/>
    <w:lvl w:ilvl="0" w:tentative="0">
      <w:start w:val="1"/>
      <w:numFmt w:val="japaneseCounting"/>
      <w:lvlText w:val="（%1）"/>
      <w:lvlJc w:val="left"/>
      <w:pPr>
        <w:ind w:left="1725" w:hanging="10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6DB0AF8"/>
    <w:multiLevelType w:val="multilevel"/>
    <w:tmpl w:val="76DB0AF8"/>
    <w:lvl w:ilvl="0" w:tentative="0">
      <w:start w:val="2"/>
      <w:numFmt w:val="decimal"/>
      <w:lvlText w:val="%1、"/>
      <w:lvlJc w:val="left"/>
      <w:pPr>
        <w:ind w:left="1790" w:hanging="1080"/>
      </w:pPr>
      <w:rPr>
        <w:rFonts w:hint="eastAsia"/>
      </w:rPr>
    </w:lvl>
    <w:lvl w:ilvl="1" w:tentative="0">
      <w:start w:val="1"/>
      <w:numFmt w:val="lowerLetter"/>
      <w:lvlText w:val="%2)"/>
      <w:lvlJc w:val="left"/>
      <w:pPr>
        <w:ind w:left="841" w:hanging="420"/>
      </w:pPr>
    </w:lvl>
    <w:lvl w:ilvl="2" w:tentative="0">
      <w:start w:val="1"/>
      <w:numFmt w:val="lowerRoman"/>
      <w:lvlText w:val="%3."/>
      <w:lvlJc w:val="right"/>
      <w:pPr>
        <w:ind w:left="1261" w:hanging="420"/>
      </w:pPr>
    </w:lvl>
    <w:lvl w:ilvl="3" w:tentative="0">
      <w:start w:val="1"/>
      <w:numFmt w:val="decimal"/>
      <w:lvlText w:val="%4."/>
      <w:lvlJc w:val="left"/>
      <w:pPr>
        <w:ind w:left="1681" w:hanging="420"/>
      </w:pPr>
    </w:lvl>
    <w:lvl w:ilvl="4" w:tentative="0">
      <w:start w:val="1"/>
      <w:numFmt w:val="lowerLetter"/>
      <w:lvlText w:val="%5)"/>
      <w:lvlJc w:val="left"/>
      <w:pPr>
        <w:ind w:left="2101" w:hanging="420"/>
      </w:pPr>
    </w:lvl>
    <w:lvl w:ilvl="5" w:tentative="0">
      <w:start w:val="1"/>
      <w:numFmt w:val="lowerRoman"/>
      <w:lvlText w:val="%6."/>
      <w:lvlJc w:val="right"/>
      <w:pPr>
        <w:ind w:left="2521" w:hanging="420"/>
      </w:pPr>
    </w:lvl>
    <w:lvl w:ilvl="6" w:tentative="0">
      <w:start w:val="1"/>
      <w:numFmt w:val="decimal"/>
      <w:lvlText w:val="%7."/>
      <w:lvlJc w:val="left"/>
      <w:pPr>
        <w:ind w:left="2941" w:hanging="420"/>
      </w:pPr>
    </w:lvl>
    <w:lvl w:ilvl="7" w:tentative="0">
      <w:start w:val="1"/>
      <w:numFmt w:val="lowerLetter"/>
      <w:lvlText w:val="%8)"/>
      <w:lvlJc w:val="left"/>
      <w:pPr>
        <w:ind w:left="3361" w:hanging="420"/>
      </w:pPr>
    </w:lvl>
    <w:lvl w:ilvl="8" w:tentative="0">
      <w:start w:val="1"/>
      <w:numFmt w:val="lowerRoman"/>
      <w:lvlText w:val="%9."/>
      <w:lvlJc w:val="right"/>
      <w:pPr>
        <w:ind w:left="3781" w:hanging="420"/>
      </w:pPr>
    </w:lvl>
  </w:abstractNum>
  <w:abstractNum w:abstractNumId="9">
    <w:nsid w:val="790C0F22"/>
    <w:multiLevelType w:val="multilevel"/>
    <w:tmpl w:val="790C0F22"/>
    <w:lvl w:ilvl="0" w:tentative="0">
      <w:start w:val="1"/>
      <w:numFmt w:val="decimal"/>
      <w:lvlText w:val="（%1）"/>
      <w:lvlJc w:val="left"/>
      <w:pPr>
        <w:ind w:left="1789" w:hanging="108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6"/>
  </w:num>
  <w:num w:numId="3">
    <w:abstractNumId w:val="1"/>
  </w:num>
  <w:num w:numId="4">
    <w:abstractNumId w:val="5"/>
  </w:num>
  <w:num w:numId="5">
    <w:abstractNumId w:val="8"/>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E4655"/>
    <w:rsid w:val="649E4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4">
    <w:name w:val="Table Grid"/>
    <w:basedOn w:val="3"/>
    <w:qFormat/>
    <w:uiPriority w:val="0"/>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qFormat/>
    <w:uiPriority w:val="99"/>
    <w:pPr>
      <w:ind w:firstLine="420" w:firstLineChars="200"/>
    </w:pPr>
  </w:style>
  <w:style w:type="paragraph" w:styleId="7">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8">
    <w:name w:val="列出段落1"/>
    <w:basedOn w:val="1"/>
    <w:qFormat/>
    <w:uiPriority w:val="0"/>
    <w:pPr>
      <w:ind w:firstLine="420" w:firstLineChars="200"/>
    </w:pPr>
  </w:style>
  <w:style w:type="paragraph" w:customStyle="1" w:styleId="9">
    <w:name w:val="p0"/>
    <w:basedOn w:val="1"/>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2019-05-17T08:56:00Z</dcterms:created>
  <dc:creator>Sunny</dc:creator>
  <cp:lastModifiedBy>Sunny</cp:lastModifiedBy>
  <dcterms:modified xsi:type="dcterms:W3CDTF">2019-05-17T08:57:39Z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