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rPr>
          <w:rFonts w:hint="eastAsia" w:ascii="Times New Roman" w:hAnsi="Times New Roman" w:cs="Times New Roman"/>
          <w:b/>
          <w:color w:val="333333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/>
        <w:jc w:val="center"/>
        <w:textAlignment w:val="auto"/>
        <w:rPr>
          <w:rFonts w:hint="eastAsia" w:ascii="创艺简标宋" w:hAnsi="创艺简标宋" w:eastAsia="创艺简标宋" w:cs="创艺简标宋"/>
          <w:b/>
          <w:color w:val="333333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/>
          <w:color w:val="333333"/>
          <w:sz w:val="44"/>
          <w:szCs w:val="44"/>
        </w:rPr>
        <w:t>宁海县市场监督管理局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100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/>
          <w:color w:val="333333"/>
          <w:sz w:val="44"/>
          <w:szCs w:val="44"/>
        </w:rPr>
        <w:t>20</w:t>
      </w:r>
      <w:r>
        <w:rPr>
          <w:rFonts w:hint="eastAsia" w:ascii="创艺简标宋" w:hAnsi="创艺简标宋" w:eastAsia="创艺简标宋" w:cs="创艺简标宋"/>
          <w:b/>
          <w:color w:val="333333"/>
          <w:sz w:val="44"/>
          <w:szCs w:val="44"/>
          <w:lang w:val="en-US" w:eastAsia="zh-CN"/>
        </w:rPr>
        <w:t>20</w:t>
      </w:r>
      <w:r>
        <w:rPr>
          <w:rFonts w:hint="eastAsia" w:ascii="创艺简标宋" w:hAnsi="创艺简标宋" w:eastAsia="创艺简标宋" w:cs="创艺简标宋"/>
          <w:b/>
          <w:color w:val="333333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报按照2020年宁海县市场监督管理局信息公开工作实际编制而成。本年报由总体情况、主动公开政府信息情况、收到和处理政府信息公开申请情况、政府信息公开行政复议行政诉讼情况、存在的主要问题及改进措施、其他需要报告的事项等六部分组成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本年报中所列数据的统计期限自20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年1月1日起至20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本年报的电子版可在宁海县政府信息公开网（http://www.ninghai.gov.cn/col/col1229128367/）下载。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如对报告有疑问，请与宁海县市场监管局办公室联系(地址：宁海县环城西路36号；邮编：315600；联系电话：0574-65577382)。</w:t>
      </w:r>
    </w:p>
    <w:p>
      <w:pPr>
        <w:pStyle w:val="2"/>
        <w:widowControl/>
        <w:spacing w:before="0" w:beforeAutospacing="0" w:after="0" w:afterAutospacing="0" w:line="432" w:lineRule="atLeast"/>
        <w:ind w:firstLine="643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Times New Roman" w:hAnsi="宋体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认真贯彻落实新修订的《中华人民共和国政府信息公开条例》（以下简称《条例》）和《宁波市人民政府办公厅关于印发2019年宁波市政务公开工作要点的通知》（甬政办发〔2019〕45号）的要求，扎实开展政府信息公开工作，坚持“以公开为常态、不公开为例外”，不断加强政府信息公开工作组织领导，完善政府信息公开工作机制，推动政府信息公开标准化规范化发展，不断增加工作透明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重点领域的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信息公开，通过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多样化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信息公开工作，创新监管方式，切实保障人民群众知情权、参与权、表达权、监督权。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年，我局主要通过政府网站（地址：http://www.ninghai.gov.cn/col/col1229093244/index.html）主动公开政府信息358条，同时在微信上主动公开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条，微博上主动公开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条，其他新闻网站、论坛等处主动公开2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条，收到的依申请公开1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，答复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10件，转结下年度继续办理1件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。全年无一因政府信息公开引发的行政复议或行政诉讼。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持续深化监督保障机制。一是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强化制度执行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列入县市场监管局制度汇编，明确政府信息公开工作机构与政府信息公开操作规范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，充分落实制度的执行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规范发布，由专人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按照政府信息发布的规定，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待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发布的信息进行审核，确保不出现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遗漏、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时间错位、图片表格</w:t>
      </w:r>
      <w:r>
        <w:rPr>
          <w:rFonts w:hint="eastAsia" w:ascii="仿宋_GB2312" w:hAnsi="仿宋_GB2312" w:eastAsia="仿宋_GB2312" w:cs="仿宋_GB2312"/>
          <w:sz w:val="32"/>
          <w:szCs w:val="32"/>
        </w:rPr>
        <w:t>错版等问题。三是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的比重与信息文稿提供重大错误的一票否决项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压实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、科所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四是完善组织保障，明确政府信息公开的分管领导，明确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1名干部专门负责此项工作，并由办公室全力做好支持。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br w:type="page"/>
      </w:r>
    </w:p>
    <w:p>
      <w:pPr>
        <w:pStyle w:val="2"/>
        <w:widowControl/>
        <w:spacing w:before="0" w:beforeAutospacing="0" w:after="0" w:afterAutospacing="0" w:line="432" w:lineRule="atLeast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ascii="Times New Roman" w:hAnsi="Calibri" w:eastAsia="宋体" w:cs="Times New Roman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ascii="Times New Roman" w:hAnsi="Calibri" w:eastAsia="宋体" w:cs="Times New Roman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+127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30942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+21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5074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868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auto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20"/>
                <w:szCs w:val="20"/>
              </w:rPr>
              <w:t>28.83</w:t>
            </w: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万元</w:t>
            </w:r>
          </w:p>
        </w:tc>
      </w:tr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ascii="Times New Roman" w:hAnsi="Times New Roman"/>
        </w:rPr>
      </w:pPr>
    </w:p>
    <w:p>
      <w:pPr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br w:type="page"/>
      </w:r>
    </w:p>
    <w:p>
      <w:pPr>
        <w:pStyle w:val="2"/>
        <w:widowControl/>
        <w:spacing w:before="0" w:beforeAutospacing="0" w:after="0" w:afterAutospacing="0" w:line="432" w:lineRule="atLeast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三、收到和处理政府信息公开申请情况</w:t>
      </w:r>
    </w:p>
    <w:p>
      <w:pPr>
        <w:pStyle w:val="2"/>
        <w:widowControl/>
        <w:spacing w:before="0" w:beforeAutospacing="0" w:after="0" w:afterAutospacing="0" w:line="432" w:lineRule="atLeast"/>
        <w:ind w:firstLine="480" w:firstLineChars="200"/>
        <w:jc w:val="both"/>
        <w:rPr>
          <w:rFonts w:ascii="Times New Roman" w:hAnsi="Times New Roman"/>
        </w:rPr>
      </w:pPr>
    </w:p>
    <w:tbl>
      <w:tblPr>
        <w:tblStyle w:val="3"/>
        <w:tblW w:w="854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623"/>
        <w:gridCol w:w="755"/>
        <w:gridCol w:w="755"/>
        <w:gridCol w:w="814"/>
        <w:gridCol w:w="773"/>
        <w:gridCol w:w="576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自然人</w:t>
            </w:r>
          </w:p>
        </w:tc>
        <w:tc>
          <w:tcPr>
            <w:tcW w:w="36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社会公益组织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法律服务机构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bookmarkStart w:id="0" w:name="_GoBack" w:colFirst="3" w:colLast="9"/>
            <w:r>
              <w:rPr>
                <w:rFonts w:ascii="Times New Roman" w:hAnsi="宋体" w:eastAsia="宋体" w:cs="Times New Roman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楷体" w:eastAsia="楷体" w:cs="Times New Roman"/>
                <w:sz w:val="20"/>
                <w:szCs w:val="20"/>
              </w:rPr>
              <w:t>（一）予以公开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楷体" w:eastAsia="楷体" w:cs="Times New Roman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楷体" w:eastAsia="楷体" w:cs="Times New Roman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1.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属于国家秘密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2.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其他法律行政法规禁止公开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3.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危及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“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三安全一稳定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”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4.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保护第三方合法权益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5.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属于三类内部事务信息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6.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属于四类过程性信息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7.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属于行政执法案卷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8.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属于行政查询事项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楷体" w:eastAsia="楷体" w:cs="Times New Roman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1.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本机关不掌握相关政府信息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2.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没有现成信息需要另行制作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3.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补正后申请内容仍不明确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楷体" w:eastAsia="楷体" w:cs="Times New Roman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1.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信访举报投诉类申请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2.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重复申请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3.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要求提供公开出版物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4.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无正当理由大量反复申请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5.</w:t>
            </w:r>
            <w:r>
              <w:rPr>
                <w:rFonts w:ascii="Times New Roman" w:hAnsi="楷体" w:eastAsia="楷体" w:cs="Times New Roman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楷体" w:eastAsia="楷体" w:cs="Times New Roman"/>
                <w:sz w:val="20"/>
                <w:szCs w:val="20"/>
              </w:rPr>
              <w:t>（六）其他处理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楷体" w:eastAsia="楷体" w:cs="Times New Roman"/>
                <w:sz w:val="20"/>
                <w:szCs w:val="20"/>
              </w:rPr>
              <w:t>（七）总计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四、结转下年度继续办理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bookmarkEnd w:id="0"/>
    </w:tbl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ascii="Times New Roman" w:hAnsi="Times New Roman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四、政府信息公开行政复议、行政诉讼情况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ascii="Times New Roman" w:hAnsi="Times New Roman"/>
        </w:rPr>
      </w:pPr>
    </w:p>
    <w:tbl>
      <w:tblPr>
        <w:tblStyle w:val="3"/>
        <w:tblW w:w="873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489"/>
        <w:gridCol w:w="550"/>
        <w:gridCol w:w="605"/>
        <w:gridCol w:w="605"/>
        <w:gridCol w:w="605"/>
        <w:gridCol w:w="528"/>
        <w:gridCol w:w="605"/>
        <w:gridCol w:w="605"/>
        <w:gridCol w:w="605"/>
        <w:gridCol w:w="606"/>
        <w:gridCol w:w="5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行政复议</w:t>
            </w:r>
          </w:p>
        </w:tc>
        <w:tc>
          <w:tcPr>
            <w:tcW w:w="583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尚未审结</w:t>
            </w:r>
          </w:p>
        </w:tc>
        <w:tc>
          <w:tcPr>
            <w:tcW w:w="4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总计</w:t>
            </w:r>
          </w:p>
        </w:tc>
        <w:tc>
          <w:tcPr>
            <w:tcW w:w="28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未经复议直接起诉</w:t>
            </w:r>
          </w:p>
        </w:tc>
        <w:tc>
          <w:tcPr>
            <w:tcW w:w="29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尚未审结</w:t>
            </w:r>
          </w:p>
        </w:tc>
        <w:tc>
          <w:tcPr>
            <w:tcW w:w="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sz w:val="20"/>
                <w:szCs w:val="20"/>
              </w:rPr>
              <w:t>尚未审结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spacing w:after="0" w:line="432" w:lineRule="atLeast"/>
        <w:jc w:val="center"/>
        <w:rPr>
          <w:rFonts w:ascii="Times New Roman" w:hAnsi="Times New Roman" w:eastAsia="宋体" w:cs="Times New Roman"/>
          <w:color w:val="333333"/>
          <w:sz w:val="24"/>
          <w:szCs w:val="24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局政府信息公开工作整体运行良好，基础工作比较扎实，但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照《中华人民共和国政府信息公开条例》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政府要求还有很大的提升空间，主要表现在：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信息公开的广度还不够，政策解读的形式还很单一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，在下一步工作中，我局将从以下几个方面予以加强：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全局各单位做好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公开工作的制度机制。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以《政务公开标准化规范化目录》为样板，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工作职责任务，落实岗位人员，确定必备内容，挖掘重点信息，建立跟踪机制，加强考核督查，确保各单位信息发布全面充分、及时准确。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借鉴先进经验。积极主动与县政府有关部门和上级单位对接政府信息公开工作，尤其是要掌握最新的省市工作要求，确保第一时间规范调整到位，防止工作疏漏。同时，学习其他地区、其他部门政府信息公开工作的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进经验。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（三）进一步加大主动公开力度。继续维护政府网站这个窗口，在确保“应公开尽公开”的同时，不断扩大公开途径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，充分利用政务双微、新闻论坛等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政务新媒体矩阵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加强政策解读、舆情回应，使政府信息公开工作规范标准、准确及时，内容丰富，形式多样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widowControl/>
        <w:spacing w:before="0" w:beforeAutospacing="0" w:after="0" w:afterAutospacing="0" w:line="432" w:lineRule="atLeast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宁海县市场监督管理局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3FDB"/>
    <w:rsid w:val="000708B2"/>
    <w:rsid w:val="00072F37"/>
    <w:rsid w:val="000C0C2A"/>
    <w:rsid w:val="000C531F"/>
    <w:rsid w:val="000E6E6E"/>
    <w:rsid w:val="00104789"/>
    <w:rsid w:val="001539BB"/>
    <w:rsid w:val="00193A4E"/>
    <w:rsid w:val="002655F7"/>
    <w:rsid w:val="002858F7"/>
    <w:rsid w:val="002F3368"/>
    <w:rsid w:val="00315C5E"/>
    <w:rsid w:val="00323B43"/>
    <w:rsid w:val="003471BB"/>
    <w:rsid w:val="00370609"/>
    <w:rsid w:val="003D37D8"/>
    <w:rsid w:val="00410AE3"/>
    <w:rsid w:val="004248B9"/>
    <w:rsid w:val="00426133"/>
    <w:rsid w:val="004339C6"/>
    <w:rsid w:val="004358AB"/>
    <w:rsid w:val="00443BCC"/>
    <w:rsid w:val="00465FB6"/>
    <w:rsid w:val="004819C2"/>
    <w:rsid w:val="004A22EA"/>
    <w:rsid w:val="004B027A"/>
    <w:rsid w:val="004E61A6"/>
    <w:rsid w:val="00546153"/>
    <w:rsid w:val="0056177F"/>
    <w:rsid w:val="005B0B65"/>
    <w:rsid w:val="005D5319"/>
    <w:rsid w:val="005F086E"/>
    <w:rsid w:val="005F7449"/>
    <w:rsid w:val="006026DA"/>
    <w:rsid w:val="0062400E"/>
    <w:rsid w:val="0064634D"/>
    <w:rsid w:val="00652AE5"/>
    <w:rsid w:val="006651B9"/>
    <w:rsid w:val="00683016"/>
    <w:rsid w:val="00714106"/>
    <w:rsid w:val="00753780"/>
    <w:rsid w:val="00755513"/>
    <w:rsid w:val="00755C4E"/>
    <w:rsid w:val="00760008"/>
    <w:rsid w:val="00763CD4"/>
    <w:rsid w:val="007C6DC3"/>
    <w:rsid w:val="007D6740"/>
    <w:rsid w:val="0083389D"/>
    <w:rsid w:val="00843F39"/>
    <w:rsid w:val="008A55F9"/>
    <w:rsid w:val="008B08DF"/>
    <w:rsid w:val="008B7726"/>
    <w:rsid w:val="008C0EFF"/>
    <w:rsid w:val="008D35F4"/>
    <w:rsid w:val="008D6920"/>
    <w:rsid w:val="009403B3"/>
    <w:rsid w:val="0094060D"/>
    <w:rsid w:val="009B10AE"/>
    <w:rsid w:val="009B1571"/>
    <w:rsid w:val="009D6CE3"/>
    <w:rsid w:val="009E0311"/>
    <w:rsid w:val="009E55C2"/>
    <w:rsid w:val="00A20293"/>
    <w:rsid w:val="00AF2FD4"/>
    <w:rsid w:val="00B166D6"/>
    <w:rsid w:val="00B421EC"/>
    <w:rsid w:val="00B617BE"/>
    <w:rsid w:val="00B70AA3"/>
    <w:rsid w:val="00BA29E1"/>
    <w:rsid w:val="00C203AC"/>
    <w:rsid w:val="00C87BD2"/>
    <w:rsid w:val="00C93018"/>
    <w:rsid w:val="00CA68F3"/>
    <w:rsid w:val="00CC2F90"/>
    <w:rsid w:val="00D0065A"/>
    <w:rsid w:val="00D241C3"/>
    <w:rsid w:val="00D31D50"/>
    <w:rsid w:val="00D70537"/>
    <w:rsid w:val="00DA59AF"/>
    <w:rsid w:val="00DB0B47"/>
    <w:rsid w:val="00DE5387"/>
    <w:rsid w:val="00DF1D82"/>
    <w:rsid w:val="00E04D58"/>
    <w:rsid w:val="00E07017"/>
    <w:rsid w:val="00E109FA"/>
    <w:rsid w:val="00E61B25"/>
    <w:rsid w:val="00E761B0"/>
    <w:rsid w:val="00E843AB"/>
    <w:rsid w:val="00EF03BA"/>
    <w:rsid w:val="00EF19FE"/>
    <w:rsid w:val="00F228ED"/>
    <w:rsid w:val="00F50069"/>
    <w:rsid w:val="00F92680"/>
    <w:rsid w:val="00FA430C"/>
    <w:rsid w:val="00FD6F39"/>
    <w:rsid w:val="00FF0B80"/>
    <w:rsid w:val="011C4F32"/>
    <w:rsid w:val="05C0787D"/>
    <w:rsid w:val="07B141BB"/>
    <w:rsid w:val="0923561A"/>
    <w:rsid w:val="09882C48"/>
    <w:rsid w:val="0ABC7156"/>
    <w:rsid w:val="0C126151"/>
    <w:rsid w:val="0C494921"/>
    <w:rsid w:val="0DDE2700"/>
    <w:rsid w:val="12ED6E07"/>
    <w:rsid w:val="13190C52"/>
    <w:rsid w:val="13573D5D"/>
    <w:rsid w:val="159D5F24"/>
    <w:rsid w:val="15A07208"/>
    <w:rsid w:val="1BE4098D"/>
    <w:rsid w:val="1CE73643"/>
    <w:rsid w:val="1F0D7E4E"/>
    <w:rsid w:val="211017C3"/>
    <w:rsid w:val="234E6F53"/>
    <w:rsid w:val="244C5F61"/>
    <w:rsid w:val="2CA02CFF"/>
    <w:rsid w:val="2D4C5508"/>
    <w:rsid w:val="2DC61EE1"/>
    <w:rsid w:val="2DDA6274"/>
    <w:rsid w:val="2EEB384B"/>
    <w:rsid w:val="2F505173"/>
    <w:rsid w:val="2FE944C1"/>
    <w:rsid w:val="318E1A57"/>
    <w:rsid w:val="32A65B12"/>
    <w:rsid w:val="338A5416"/>
    <w:rsid w:val="35DA33DB"/>
    <w:rsid w:val="388D5C72"/>
    <w:rsid w:val="38C07D89"/>
    <w:rsid w:val="3A3C4B91"/>
    <w:rsid w:val="3B033783"/>
    <w:rsid w:val="3B23327B"/>
    <w:rsid w:val="3BD77EF6"/>
    <w:rsid w:val="3D0E5271"/>
    <w:rsid w:val="3F91612E"/>
    <w:rsid w:val="423F03E9"/>
    <w:rsid w:val="426E218C"/>
    <w:rsid w:val="42C1306B"/>
    <w:rsid w:val="496D53D0"/>
    <w:rsid w:val="506F1355"/>
    <w:rsid w:val="55DA45CA"/>
    <w:rsid w:val="567A5983"/>
    <w:rsid w:val="5A270D41"/>
    <w:rsid w:val="5A616974"/>
    <w:rsid w:val="5CAE6ECE"/>
    <w:rsid w:val="5CEE29B8"/>
    <w:rsid w:val="5F6560BB"/>
    <w:rsid w:val="60B57D5F"/>
    <w:rsid w:val="618F3711"/>
    <w:rsid w:val="62ED7F5B"/>
    <w:rsid w:val="635D274E"/>
    <w:rsid w:val="6638683B"/>
    <w:rsid w:val="67587E1F"/>
    <w:rsid w:val="6F0B3F2B"/>
    <w:rsid w:val="6FBD111A"/>
    <w:rsid w:val="701B373C"/>
    <w:rsid w:val="71DC2E54"/>
    <w:rsid w:val="741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430</Words>
  <Characters>2452</Characters>
  <Lines>20</Lines>
  <Paragraphs>5</Paragraphs>
  <TotalTime>0</TotalTime>
  <ScaleCrop>false</ScaleCrop>
  <LinksUpToDate>false</LinksUpToDate>
  <CharactersWithSpaces>2877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nhmsa</dc:creator>
  <cp:lastModifiedBy>[3]范俊成</cp:lastModifiedBy>
  <dcterms:modified xsi:type="dcterms:W3CDTF">2021-01-22T02:08:06Z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