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宁海县医疗保障局2020年政府信息公开</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bookmarkEnd w:id="0"/>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在县委县政府的正确领导及上级业务部门的细心指导下，我局认真贯彻落实《中华人民共和国政府信息公开条例》要求，坚持把主动公开作为政务公开主渠道，扩大主动公开信息，细化主动公开范围，全面做好信息公开公布，积极回应人民群众较为关注、关心的问题。</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一是积极梳理本单位部门职能，明确职能边界，准确公开部门的工作职能、内设机构、领导班子、下属事业单位等信息。</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二是推动行政决策及各类信息公开。认真贯彻上级有关要求，建立健全本单位行政决策事项目录。</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严格按照《条例》规定，进一步完善受理、处理、回复等程序流程，依法受理、回复申请人政府信息公开申请。2020年共收到申请0项，无行政复议及行政诉讼。</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时、全面、准确公开群众关心事项，对重大决策出台前进行意见征集。同时以“最多跑一次”为契机，通过“首问负责即问即办”、“百姓事马上办”等网上平台处理群众意见建议，2020年度处理466条，满意率100%。</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（四）平台建设</w:t>
      </w:r>
    </w:p>
    <w:p>
      <w:pPr>
        <w:numPr>
          <w:ilvl w:val="0"/>
          <w:numId w:val="0"/>
        </w:numPr>
        <w:spacing w:line="400" w:lineRule="exact"/>
        <w:ind w:left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为方便市民快速查找有关信息，所发布信息均对应相关目录，2020年新增加一个“医疗救助”目录。</w:t>
      </w:r>
    </w:p>
    <w:p>
      <w:pPr>
        <w:numPr>
          <w:ilvl w:val="0"/>
          <w:numId w:val="0"/>
        </w:numPr>
        <w:spacing w:line="400" w:lineRule="exact"/>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w:t>
      </w:r>
    </w:p>
    <w:p>
      <w:pPr>
        <w:numPr>
          <w:ilvl w:val="0"/>
          <w:numId w:val="0"/>
        </w:numPr>
        <w:spacing w:line="400" w:lineRule="exact"/>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为保障政府信息公开工作规范高效进行，落实专人负责，通过全县培训、“周二夜学”等方式进行学习。通过定期和不定期相结合方式对信息发布的及时性及规范性进行审查，保障政务公开工作规范有序进行。</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2"/>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本年新制作数量</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本年新公开数量</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规章</w:t>
            </w:r>
          </w:p>
        </w:tc>
        <w:tc>
          <w:tcPr>
            <w:tcW w:w="2605"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268"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98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规范性文件</w:t>
            </w:r>
          </w:p>
        </w:tc>
        <w:tc>
          <w:tcPr>
            <w:tcW w:w="2605"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行政许可</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其他对外管理服务事项</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信息内容</w:t>
            </w:r>
          </w:p>
        </w:tc>
        <w:tc>
          <w:tcPr>
            <w:tcW w:w="2605"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上一年项目数量</w:t>
            </w:r>
          </w:p>
        </w:tc>
        <w:tc>
          <w:tcPr>
            <w:tcW w:w="2268"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本年增/减</w:t>
            </w:r>
          </w:p>
        </w:tc>
        <w:tc>
          <w:tcPr>
            <w:tcW w:w="1984"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行政处罚</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行政强制</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4252" w:type="dxa"/>
            <w:gridSpan w:val="2"/>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2605"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252" w:type="dxa"/>
            <w:gridSpan w:val="2"/>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采购项目数量</w:t>
            </w:r>
          </w:p>
        </w:tc>
        <w:tc>
          <w:tcPr>
            <w:tcW w:w="4252" w:type="dxa"/>
            <w:gridSpan w:val="2"/>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政府集中采购</w:t>
            </w:r>
          </w:p>
        </w:tc>
        <w:tc>
          <w:tcPr>
            <w:tcW w:w="2605"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51</w:t>
            </w:r>
          </w:p>
        </w:tc>
        <w:tc>
          <w:tcPr>
            <w:tcW w:w="4252" w:type="dxa"/>
            <w:gridSpan w:val="2"/>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28.389231</w:t>
            </w:r>
          </w:p>
        </w:tc>
      </w:tr>
    </w:tbl>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2"/>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031"/>
        <w:gridCol w:w="1840"/>
        <w:gridCol w:w="756"/>
        <w:gridCol w:w="639"/>
        <w:gridCol w:w="639"/>
        <w:gridCol w:w="896"/>
        <w:gridCol w:w="737"/>
        <w:gridCol w:w="45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gridSpan w:val="3"/>
            <w:vMerge w:val="restart"/>
            <w:noWrap w:val="0"/>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4697" w:type="dxa"/>
            <w:gridSpan w:val="7"/>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gridSpan w:val="3"/>
            <w:vMerge w:val="continue"/>
            <w:noWrap w:val="0"/>
            <w:vAlign w:val="center"/>
          </w:tcPr>
          <w:p>
            <w:pPr>
              <w:spacing w:line="400" w:lineRule="exact"/>
              <w:rPr>
                <w:rFonts w:ascii="宋体" w:hAnsi="宋体"/>
                <w:sz w:val="18"/>
                <w:szCs w:val="18"/>
              </w:rPr>
            </w:pPr>
          </w:p>
        </w:tc>
        <w:tc>
          <w:tcPr>
            <w:tcW w:w="756"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3368"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573"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gridSpan w:val="3"/>
            <w:vMerge w:val="continue"/>
            <w:noWrap w:val="0"/>
            <w:vAlign w:val="center"/>
          </w:tcPr>
          <w:p>
            <w:pPr>
              <w:spacing w:line="400" w:lineRule="exact"/>
              <w:rPr>
                <w:rFonts w:ascii="宋体" w:hAnsi="宋体"/>
                <w:sz w:val="18"/>
                <w:szCs w:val="18"/>
              </w:rPr>
            </w:pPr>
          </w:p>
        </w:tc>
        <w:tc>
          <w:tcPr>
            <w:tcW w:w="756" w:type="dxa"/>
            <w:vMerge w:val="continue"/>
            <w:noWrap w:val="0"/>
            <w:vAlign w:val="center"/>
          </w:tcPr>
          <w:p>
            <w:pPr>
              <w:spacing w:line="400" w:lineRule="exact"/>
              <w:rPr>
                <w:rFonts w:hint="eastAsia" w:ascii="黑体" w:hAnsi="黑体" w:eastAsia="黑体" w:cs="黑体"/>
                <w:sz w:val="24"/>
              </w:rPr>
            </w:pPr>
          </w:p>
        </w:tc>
        <w:tc>
          <w:tcPr>
            <w:tcW w:w="63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63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896"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737"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457"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573" w:type="dxa"/>
            <w:vMerge w:val="continue"/>
            <w:noWrap w:val="0"/>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823"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823"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2871"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2871"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1031" w:type="dxa"/>
            <w:vMerge w:val="continue"/>
            <w:noWrap w:val="0"/>
            <w:vAlign w:val="center"/>
          </w:tcPr>
          <w:p>
            <w:pPr>
              <w:spacing w:line="400" w:lineRule="exact"/>
              <w:rPr>
                <w:rFonts w:hint="eastAsia" w:ascii="仿宋_GB2312" w:hAnsi="仿宋_GB2312" w:eastAsia="仿宋_GB2312" w:cs="仿宋_GB2312"/>
                <w:sz w:val="24"/>
              </w:rPr>
            </w:pPr>
          </w:p>
        </w:tc>
        <w:tc>
          <w:tcPr>
            <w:tcW w:w="1840"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2871"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52" w:type="dxa"/>
            <w:vMerge w:val="continue"/>
            <w:noWrap w:val="0"/>
            <w:vAlign w:val="center"/>
          </w:tcPr>
          <w:p>
            <w:pPr>
              <w:spacing w:line="400" w:lineRule="exact"/>
              <w:rPr>
                <w:rFonts w:hint="eastAsia" w:ascii="仿宋_GB2312" w:hAnsi="仿宋_GB2312" w:eastAsia="仿宋_GB2312" w:cs="仿宋_GB2312"/>
                <w:sz w:val="24"/>
              </w:rPr>
            </w:pPr>
          </w:p>
        </w:tc>
        <w:tc>
          <w:tcPr>
            <w:tcW w:w="2871"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75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3823"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756"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639"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96"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3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57"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numPr>
          <w:ilvl w:val="0"/>
          <w:numId w:val="0"/>
        </w:numPr>
        <w:ind w:leftChars="0" w:firstLine="600" w:firstLineChars="200"/>
        <w:rPr>
          <w:rFonts w:hint="eastAsia"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政府信息公开行政复议、行政诉讼情况</w:t>
      </w:r>
    </w:p>
    <w:tbl>
      <w:tblPr>
        <w:tblStyle w:val="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default" w:ascii="仿宋_GB2312" w:hAnsi="仿宋_GB2312" w:eastAsia="仿宋_GB2312" w:cs="仿宋_GB2312"/>
                <w:sz w:val="24"/>
                <w:lang w:val="en-US" w:eastAsia="zh-CN"/>
              </w:rPr>
            </w:pPr>
          </w:p>
        </w:tc>
        <w:tc>
          <w:tcPr>
            <w:tcW w:w="55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（一）存在问题</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2020年以来，我局信息公开工作运行状况虽好，但与上级要求和群众需求仍存在部分差距，如：公开信息发布格式格式还需进一步规范；政策解读类信息添加量不多；公开内容形式单一、引导力一般等。</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（二）改进措施</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大工作力度。增强各科室信息公开责任意识，确保应公开信息正确、及时的公开。二是增加政策解读类文件的公开。按照上级规定上传有效的政策解读类文件，方便群众解读。三是增加公开内容形式多样化。</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94DB"/>
    <w:multiLevelType w:val="singleLevel"/>
    <w:tmpl w:val="52FD94D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448D7"/>
    <w:rsid w:val="13C15767"/>
    <w:rsid w:val="1FE61202"/>
    <w:rsid w:val="215454AC"/>
    <w:rsid w:val="26582BE0"/>
    <w:rsid w:val="2C791696"/>
    <w:rsid w:val="470D65A7"/>
    <w:rsid w:val="4A5838AB"/>
    <w:rsid w:val="5EF02C86"/>
    <w:rsid w:val="713E2E98"/>
    <w:rsid w:val="74757687"/>
    <w:rsid w:val="7DA0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2021-01-18T01:56:00Z</dcterms:created>
  <dc:creator>卢赛男</dc:creator>
  <cp:lastModifiedBy>Administrator</cp:lastModifiedBy>
  <dcterms:modified xsi:type="dcterms:W3CDTF">2022-01-27T05:43:24Z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