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kinsoku/>
        <w:wordWrap/>
        <w:overflowPunct/>
        <w:topLinePunct w:val="0"/>
        <w:autoSpaceDE/>
        <w:autoSpaceDN/>
        <w:bidi w:val="0"/>
        <w:spacing w:before="0" w:beforeAutospacing="0" w:after="0" w:afterAutospacing="0" w:line="520" w:lineRule="exact"/>
        <w:jc w:val="center"/>
        <w:textAlignment w:val="auto"/>
        <w:rPr>
          <w:rFonts w:ascii="宋体" w:hAnsi="宋体" w:cs="宋体"/>
        </w:rPr>
      </w:pPr>
      <w:r>
        <w:rPr>
          <w:rFonts w:hint="eastAsia" w:ascii="宋体" w:hAnsi="宋体" w:cs="宋体"/>
          <w:b/>
          <w:color w:val="333333"/>
          <w:sz w:val="36"/>
          <w:szCs w:val="36"/>
        </w:rPr>
        <w:t>政府信息公开工作年度报告</w:t>
      </w:r>
    </w:p>
    <w:p>
      <w:pPr>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一、总体情况</w:t>
      </w:r>
    </w:p>
    <w:p>
      <w:pPr>
        <w:keepNext w:val="0"/>
        <w:keepLines w:val="0"/>
        <w:pageBreakBefore w:val="0"/>
        <w:widowControl/>
        <w:kinsoku/>
        <w:wordWrap/>
        <w:overflowPunct/>
        <w:topLinePunct w:val="0"/>
        <w:autoSpaceDE/>
        <w:autoSpaceDN/>
        <w:bidi w:val="0"/>
        <w:adjustRightInd w:val="0"/>
        <w:snapToGrid w:val="0"/>
        <w:spacing w:beforeAutospacing="0" w:afterAutospacing="0" w:line="520" w:lineRule="exact"/>
        <w:ind w:firstLine="464" w:firstLineChars="200"/>
        <w:jc w:val="left"/>
        <w:textAlignment w:val="auto"/>
        <w:rPr>
          <w:rFonts w:hint="eastAsia"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eastAsia="zh-CN"/>
        </w:rPr>
        <w:t>2020</w:t>
      </w:r>
      <w:r>
        <w:rPr>
          <w:rFonts w:hint="eastAsia" w:ascii="仿宋_GB2312" w:hAnsi="仿宋_GB2312" w:eastAsia="仿宋_GB2312" w:cs="仿宋_GB2312"/>
          <w:snapToGrid w:val="0"/>
          <w:spacing w:val="-4"/>
          <w:kern w:val="0"/>
          <w:sz w:val="24"/>
        </w:rPr>
        <w:t>年我局</w:t>
      </w:r>
      <w:r>
        <w:rPr>
          <w:rFonts w:hint="eastAsia" w:ascii="仿宋_GB2312" w:hAnsi="仿宋_GB2312" w:eastAsia="仿宋_GB2312" w:cs="仿宋_GB2312"/>
          <w:snapToGrid w:val="0"/>
          <w:spacing w:val="-4"/>
          <w:kern w:val="0"/>
          <w:sz w:val="24"/>
          <w:lang w:val="en-US" w:eastAsia="zh-CN"/>
        </w:rPr>
        <w:t>严格按照《中华人民共和国政府信息公开条例》及相关规定，不断健完善政务信息公开工作制度，精细化梳理政务信息公开标注目录，专职化落实</w:t>
      </w:r>
      <w:r>
        <w:rPr>
          <w:rFonts w:hint="eastAsia" w:ascii="仿宋_GB2312" w:hAnsi="仿宋_GB2312" w:eastAsia="仿宋_GB2312" w:cs="仿宋_GB2312"/>
          <w:snapToGrid w:val="0"/>
          <w:spacing w:val="-4"/>
          <w:kern w:val="0"/>
          <w:sz w:val="24"/>
        </w:rPr>
        <w:t>人员</w:t>
      </w:r>
      <w:r>
        <w:rPr>
          <w:rFonts w:hint="eastAsia" w:ascii="仿宋_GB2312" w:hAnsi="仿宋_GB2312" w:eastAsia="仿宋_GB2312" w:cs="仿宋_GB2312"/>
          <w:snapToGrid w:val="0"/>
          <w:spacing w:val="-4"/>
          <w:kern w:val="0"/>
          <w:sz w:val="24"/>
          <w:lang w:val="en-US" w:eastAsia="zh-CN"/>
        </w:rPr>
        <w:t>负责体系，公开制度逐渐完善，公开渠道逐渐丰富，公开内容逐渐全面，按计划</w:t>
      </w:r>
      <w:r>
        <w:rPr>
          <w:rFonts w:hint="eastAsia" w:ascii="仿宋_GB2312" w:hAnsi="仿宋_GB2312" w:eastAsia="仿宋_GB2312" w:cs="仿宋_GB2312"/>
          <w:snapToGrid w:val="0"/>
          <w:spacing w:val="-4"/>
          <w:kern w:val="0"/>
          <w:sz w:val="24"/>
        </w:rPr>
        <w:t>推动信息公开工作有序进行。今年我局主动公开政府信息</w:t>
      </w:r>
      <w:r>
        <w:rPr>
          <w:rFonts w:hint="eastAsia" w:ascii="仿宋_GB2312" w:hAnsi="仿宋_GB2312" w:eastAsia="仿宋_GB2312" w:cs="仿宋_GB2312"/>
          <w:snapToGrid w:val="0"/>
          <w:spacing w:val="-4"/>
          <w:kern w:val="0"/>
          <w:sz w:val="24"/>
          <w:lang w:val="en-US" w:eastAsia="zh-CN"/>
        </w:rPr>
        <w:t>513</w:t>
      </w:r>
      <w:r>
        <w:rPr>
          <w:rFonts w:hint="eastAsia" w:ascii="仿宋_GB2312" w:hAnsi="仿宋_GB2312" w:eastAsia="仿宋_GB2312" w:cs="仿宋_GB2312"/>
          <w:snapToGrid w:val="0"/>
          <w:spacing w:val="-4"/>
          <w:kern w:val="0"/>
          <w:sz w:val="24"/>
        </w:rPr>
        <w:t>条，全文电子化率达100%。主动公开的信息内容涉及本部门</w:t>
      </w:r>
      <w:r>
        <w:rPr>
          <w:rFonts w:hint="eastAsia" w:ascii="仿宋_GB2312" w:hAnsi="仿宋_GB2312" w:eastAsia="仿宋_GB2312" w:cs="仿宋_GB2312"/>
          <w:snapToGrid w:val="0"/>
          <w:spacing w:val="-4"/>
          <w:kern w:val="0"/>
          <w:sz w:val="24"/>
          <w:lang w:val="en-US" w:eastAsia="zh-CN"/>
        </w:rPr>
        <w:t>组织机构</w:t>
      </w:r>
      <w:r>
        <w:rPr>
          <w:rFonts w:hint="eastAsia" w:ascii="仿宋_GB2312" w:hAnsi="仿宋_GB2312" w:eastAsia="仿宋_GB2312" w:cs="仿宋_GB2312"/>
          <w:snapToGrid w:val="0"/>
          <w:spacing w:val="-4"/>
          <w:kern w:val="0"/>
          <w:sz w:val="24"/>
        </w:rPr>
        <w:t>、</w:t>
      </w:r>
      <w:r>
        <w:rPr>
          <w:rFonts w:hint="eastAsia" w:ascii="仿宋_GB2312" w:hAnsi="仿宋_GB2312" w:eastAsia="仿宋_GB2312" w:cs="仿宋_GB2312"/>
          <w:snapToGrid w:val="0"/>
          <w:spacing w:val="-4"/>
          <w:kern w:val="0"/>
          <w:sz w:val="24"/>
          <w:lang w:val="en-US" w:eastAsia="zh-CN"/>
        </w:rPr>
        <w:t>政府公文、重大决策预公开</w:t>
      </w:r>
      <w:r>
        <w:rPr>
          <w:rFonts w:hint="eastAsia" w:ascii="仿宋_GB2312" w:hAnsi="仿宋_GB2312" w:eastAsia="仿宋_GB2312" w:cs="仿宋_GB2312"/>
          <w:snapToGrid w:val="0"/>
          <w:spacing w:val="-4"/>
          <w:kern w:val="0"/>
          <w:sz w:val="24"/>
        </w:rPr>
        <w:t>、</w:t>
      </w:r>
      <w:r>
        <w:rPr>
          <w:rFonts w:hint="eastAsia" w:ascii="仿宋_GB2312" w:hAnsi="仿宋_GB2312" w:eastAsia="仿宋_GB2312" w:cs="仿宋_GB2312"/>
          <w:snapToGrid w:val="0"/>
          <w:spacing w:val="-4"/>
          <w:kern w:val="0"/>
          <w:sz w:val="24"/>
          <w:lang w:val="en-US" w:eastAsia="zh-CN"/>
        </w:rPr>
        <w:t>提案建议、</w:t>
      </w:r>
      <w:r>
        <w:rPr>
          <w:rFonts w:hint="eastAsia" w:ascii="仿宋_GB2312" w:hAnsi="仿宋_GB2312" w:eastAsia="仿宋_GB2312" w:cs="仿宋_GB2312"/>
          <w:snapToGrid w:val="0"/>
          <w:spacing w:val="-4"/>
          <w:kern w:val="0"/>
          <w:sz w:val="24"/>
        </w:rPr>
        <w:t>行政执法、</w:t>
      </w:r>
      <w:r>
        <w:rPr>
          <w:rFonts w:hint="eastAsia" w:ascii="仿宋_GB2312" w:hAnsi="仿宋_GB2312" w:eastAsia="仿宋_GB2312" w:cs="仿宋_GB2312"/>
          <w:snapToGrid w:val="0"/>
          <w:spacing w:val="-4"/>
          <w:kern w:val="0"/>
          <w:sz w:val="24"/>
          <w:lang w:val="en-US" w:eastAsia="zh-CN"/>
        </w:rPr>
        <w:t>行政许可、</w:t>
      </w:r>
      <w:r>
        <w:rPr>
          <w:rFonts w:hint="eastAsia" w:ascii="仿宋_GB2312" w:hAnsi="仿宋_GB2312" w:eastAsia="仿宋_GB2312" w:cs="仿宋_GB2312"/>
          <w:snapToGrid w:val="0"/>
          <w:spacing w:val="-4"/>
          <w:kern w:val="0"/>
          <w:sz w:val="24"/>
        </w:rPr>
        <w:t>人事信息、财政信息等项内容，以及本部门的工作动态和各类</w:t>
      </w:r>
      <w:r>
        <w:rPr>
          <w:rFonts w:hint="eastAsia" w:ascii="仿宋_GB2312" w:hAnsi="仿宋_GB2312" w:eastAsia="仿宋_GB2312" w:cs="仿宋_GB2312"/>
          <w:snapToGrid w:val="0"/>
          <w:spacing w:val="-4"/>
          <w:kern w:val="0"/>
          <w:sz w:val="24"/>
          <w:lang w:val="en-US" w:eastAsia="zh-CN"/>
        </w:rPr>
        <w:t>活动</w:t>
      </w:r>
      <w:r>
        <w:rPr>
          <w:rFonts w:hint="eastAsia" w:ascii="仿宋_GB2312" w:hAnsi="仿宋_GB2312" w:eastAsia="仿宋_GB2312" w:cs="仿宋_GB2312"/>
          <w:snapToGrid w:val="0"/>
          <w:spacing w:val="-4"/>
          <w:kern w:val="0"/>
          <w:sz w:val="24"/>
        </w:rPr>
        <w:t>的</w:t>
      </w:r>
      <w:r>
        <w:rPr>
          <w:rFonts w:hint="eastAsia" w:ascii="仿宋_GB2312" w:hAnsi="仿宋_GB2312" w:eastAsia="仿宋_GB2312" w:cs="仿宋_GB2312"/>
          <w:snapToGrid w:val="0"/>
          <w:spacing w:val="-4"/>
          <w:kern w:val="0"/>
          <w:sz w:val="24"/>
          <w:lang w:val="en-US" w:eastAsia="zh-CN"/>
        </w:rPr>
        <w:t>信息</w:t>
      </w:r>
      <w:r>
        <w:rPr>
          <w:rFonts w:hint="eastAsia" w:ascii="仿宋_GB2312" w:hAnsi="仿宋_GB2312" w:eastAsia="仿宋_GB2312" w:cs="仿宋_GB2312"/>
          <w:snapToGrid w:val="0"/>
          <w:spacing w:val="-4"/>
          <w:kern w:val="0"/>
          <w:sz w:val="24"/>
        </w:rPr>
        <w:t>等。其中宁海县人民政府网站公开政府信息</w:t>
      </w:r>
      <w:r>
        <w:rPr>
          <w:rFonts w:hint="eastAsia" w:ascii="仿宋_GB2312" w:hAnsi="仿宋_GB2312" w:eastAsia="仿宋_GB2312" w:cs="仿宋_GB2312"/>
          <w:snapToGrid w:val="0"/>
          <w:spacing w:val="-4"/>
          <w:kern w:val="0"/>
          <w:sz w:val="24"/>
          <w:lang w:val="en-US" w:eastAsia="zh-CN"/>
        </w:rPr>
        <w:t>195</w:t>
      </w:r>
      <w:r>
        <w:rPr>
          <w:rFonts w:hint="eastAsia" w:ascii="仿宋_GB2312" w:hAnsi="仿宋_GB2312" w:eastAsia="仿宋_GB2312" w:cs="仿宋_GB2312"/>
          <w:snapToGrid w:val="0"/>
          <w:spacing w:val="-4"/>
          <w:kern w:val="0"/>
          <w:sz w:val="24"/>
        </w:rPr>
        <w:t>条,官方微博公开政府信息</w:t>
      </w:r>
      <w:r>
        <w:rPr>
          <w:rFonts w:hint="eastAsia" w:ascii="仿宋_GB2312" w:hAnsi="仿宋_GB2312" w:eastAsia="仿宋_GB2312" w:cs="仿宋_GB2312"/>
          <w:snapToGrid w:val="0"/>
          <w:spacing w:val="-4"/>
          <w:kern w:val="0"/>
          <w:sz w:val="24"/>
          <w:lang w:val="en-US" w:eastAsia="zh-CN"/>
        </w:rPr>
        <w:t>373</w:t>
      </w:r>
      <w:r>
        <w:rPr>
          <w:rFonts w:hint="eastAsia" w:ascii="仿宋_GB2312" w:hAnsi="仿宋_GB2312" w:eastAsia="仿宋_GB2312" w:cs="仿宋_GB2312"/>
          <w:snapToGrid w:val="0"/>
          <w:spacing w:val="-4"/>
          <w:kern w:val="0"/>
          <w:sz w:val="24"/>
        </w:rPr>
        <w:t>条、官方微信公开政府信息</w:t>
      </w:r>
      <w:r>
        <w:rPr>
          <w:rFonts w:hint="eastAsia" w:ascii="仿宋_GB2312" w:hAnsi="仿宋_GB2312" w:eastAsia="仿宋_GB2312" w:cs="仿宋_GB2312"/>
          <w:snapToGrid w:val="0"/>
          <w:spacing w:val="-4"/>
          <w:kern w:val="0"/>
          <w:sz w:val="24"/>
          <w:lang w:val="en-US" w:eastAsia="zh-CN"/>
        </w:rPr>
        <w:t>450</w:t>
      </w:r>
      <w:r>
        <w:rPr>
          <w:rFonts w:hint="eastAsia" w:ascii="仿宋_GB2312" w:hAnsi="仿宋_GB2312" w:eastAsia="仿宋_GB2312" w:cs="仿宋_GB2312"/>
          <w:snapToGrid w:val="0"/>
          <w:spacing w:val="-4"/>
          <w:kern w:val="0"/>
          <w:sz w:val="24"/>
        </w:rPr>
        <w:t>条</w:t>
      </w:r>
      <w:r>
        <w:rPr>
          <w:rFonts w:hint="eastAsia" w:ascii="仿宋_GB2312" w:hAnsi="仿宋_GB2312" w:eastAsia="仿宋_GB2312" w:cs="仿宋_GB2312"/>
          <w:snapToGrid w:val="0"/>
          <w:spacing w:val="-4"/>
          <w:kern w:val="0"/>
          <w:sz w:val="24"/>
          <w:lang w:eastAsia="zh-CN"/>
        </w:rPr>
        <w:t>、</w:t>
      </w:r>
      <w:r>
        <w:rPr>
          <w:rFonts w:hint="eastAsia" w:ascii="仿宋_GB2312" w:hAnsi="仿宋_GB2312" w:eastAsia="仿宋_GB2312" w:cs="仿宋_GB2312"/>
          <w:snapToGrid w:val="0"/>
          <w:spacing w:val="-4"/>
          <w:kern w:val="0"/>
          <w:sz w:val="24"/>
        </w:rPr>
        <w:t>其他方式公开政府信息数</w:t>
      </w:r>
      <w:r>
        <w:rPr>
          <w:rFonts w:hint="eastAsia" w:ascii="仿宋_GB2312" w:hAnsi="仿宋_GB2312" w:eastAsia="仿宋_GB2312" w:cs="仿宋_GB2312"/>
          <w:snapToGrid w:val="0"/>
          <w:spacing w:val="-4"/>
          <w:kern w:val="0"/>
          <w:sz w:val="24"/>
          <w:lang w:val="en-US" w:eastAsia="zh-CN"/>
        </w:rPr>
        <w:t>224条</w:t>
      </w:r>
      <w:r>
        <w:rPr>
          <w:rFonts w:hint="eastAsia" w:ascii="仿宋_GB2312" w:hAnsi="仿宋_GB2312" w:eastAsia="仿宋_GB2312" w:cs="仿宋_GB2312"/>
          <w:snapToGrid w:val="0"/>
          <w:spacing w:val="-4"/>
          <w:kern w:val="0"/>
          <w:sz w:val="24"/>
        </w:rPr>
        <w:t>；本年度我局</w:t>
      </w:r>
      <w:r>
        <w:rPr>
          <w:rFonts w:hint="eastAsia" w:ascii="仿宋_GB2312" w:hAnsi="仿宋_GB2312" w:eastAsia="仿宋_GB2312" w:cs="仿宋_GB2312"/>
          <w:snapToGrid w:val="0"/>
          <w:spacing w:val="-4"/>
          <w:kern w:val="0"/>
          <w:sz w:val="24"/>
          <w:lang w:val="en-US" w:eastAsia="zh-CN"/>
        </w:rPr>
        <w:t>未收到</w:t>
      </w:r>
      <w:r>
        <w:rPr>
          <w:rFonts w:hint="eastAsia" w:ascii="仿宋_GB2312" w:hAnsi="仿宋_GB2312" w:eastAsia="仿宋_GB2312" w:cs="仿宋_GB2312"/>
          <w:snapToGrid w:val="0"/>
          <w:spacing w:val="-4"/>
          <w:kern w:val="0"/>
          <w:sz w:val="24"/>
        </w:rPr>
        <w:t>依申请公开信息</w:t>
      </w:r>
      <w:r>
        <w:rPr>
          <w:rFonts w:hint="eastAsia" w:ascii="仿宋_GB2312" w:hAnsi="仿宋_GB2312" w:eastAsia="仿宋_GB2312" w:cs="仿宋_GB2312"/>
          <w:snapToGrid w:val="0"/>
          <w:spacing w:val="-4"/>
          <w:kern w:val="0"/>
          <w:sz w:val="24"/>
          <w:lang w:val="en-US" w:eastAsia="zh-CN"/>
        </w:rPr>
        <w:t>申请</w:t>
      </w:r>
      <w:r>
        <w:rPr>
          <w:rFonts w:hint="eastAsia" w:ascii="仿宋_GB2312" w:hAnsi="仿宋_GB2312" w:eastAsia="仿宋_GB2312" w:cs="仿宋_GB2312"/>
          <w:snapToGrid w:val="0"/>
          <w:spacing w:val="-4"/>
          <w:kern w:val="0"/>
          <w:sz w:val="24"/>
        </w:rPr>
        <w:t>；本年度我局未发生因政府信息公开导致的行政复议和行政诉讼案件。</w:t>
      </w:r>
      <w:r>
        <w:rPr>
          <w:rFonts w:hint="eastAsia" w:ascii="仿宋_GB2312" w:hAnsi="仿宋_GB2312" w:eastAsia="仿宋_GB2312" w:cs="仿宋_GB2312"/>
          <w:snapToGrid w:val="0"/>
          <w:spacing w:val="-4"/>
          <w:kern w:val="0"/>
          <w:sz w:val="24"/>
          <w:lang w:val="en-US" w:eastAsia="zh-CN"/>
        </w:rPr>
        <w:t xml:space="preserve">                                          </w:t>
      </w:r>
    </w:p>
    <w:p>
      <w:pPr>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sz w:val="30"/>
          <w:szCs w:val="30"/>
          <w:lang w:val="en-US" w:eastAsia="zh-CN"/>
        </w:rPr>
      </w:pPr>
    </w:p>
    <w:p>
      <w:pPr>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二、主动公开</w:t>
      </w:r>
    </w:p>
    <w:p>
      <w:pPr>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sz w:val="30"/>
          <w:szCs w:val="30"/>
        </w:rPr>
      </w:pPr>
      <w:r>
        <w:rPr>
          <w:rFonts w:hint="eastAsia" w:ascii="楷体_GB2312" w:hAnsi="楷体_GB2312" w:eastAsia="楷体_GB2312" w:cs="楷体_GB2312"/>
          <w:sz w:val="30"/>
          <w:szCs w:val="30"/>
        </w:rPr>
        <w:t>1.不同渠道方式主动公开及回应解读总体情况</w:t>
      </w:r>
    </w:p>
    <w:tbl>
      <w:tblPr>
        <w:tblStyle w:val="3"/>
        <w:tblW w:w="0" w:type="auto"/>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5"/>
        <w:gridCol w:w="806"/>
        <w:gridCol w:w="1619"/>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黑体" w:hAnsi="黑体" w:eastAsia="黑体" w:cs="黑体"/>
                <w:snapToGrid w:val="0"/>
                <w:spacing w:val="-4"/>
                <w:kern w:val="0"/>
                <w:sz w:val="24"/>
              </w:rPr>
            </w:pPr>
            <w:bookmarkStart w:id="0" w:name="_Hlk26876326"/>
            <w:r>
              <w:rPr>
                <w:rFonts w:hint="eastAsia" w:ascii="黑体" w:hAnsi="黑体" w:eastAsia="黑体" w:cs="黑体"/>
                <w:snapToGrid w:val="0"/>
                <w:spacing w:val="-4"/>
                <w:kern w:val="0"/>
                <w:sz w:val="24"/>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黑体" w:hAnsi="黑体" w:eastAsia="黑体" w:cs="黑体"/>
                <w:snapToGrid w:val="0"/>
                <w:spacing w:val="-4"/>
                <w:kern w:val="0"/>
                <w:sz w:val="24"/>
              </w:rPr>
            </w:pPr>
            <w:r>
              <w:rPr>
                <w:rFonts w:hint="eastAsia" w:ascii="黑体" w:hAnsi="黑体" w:eastAsia="黑体" w:cs="黑体"/>
                <w:snapToGrid w:val="0"/>
                <w:spacing w:val="-4"/>
                <w:kern w:val="0"/>
                <w:sz w:val="24"/>
              </w:rPr>
              <w:t>单位</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黑体" w:hAnsi="黑体" w:eastAsia="黑体" w:cs="黑体"/>
                <w:snapToGrid w:val="0"/>
                <w:spacing w:val="-4"/>
                <w:kern w:val="0"/>
                <w:sz w:val="24"/>
              </w:rPr>
            </w:pPr>
            <w:r>
              <w:rPr>
                <w:rFonts w:hint="eastAsia" w:ascii="黑体" w:hAnsi="黑体" w:eastAsia="黑体" w:cs="黑体"/>
                <w:snapToGrid w:val="0"/>
                <w:spacing w:val="-4"/>
                <w:kern w:val="0"/>
                <w:sz w:val="24"/>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（一）主动公开政府信息数</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ind w:firstLine="1044" w:firstLineChars="450"/>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（不同渠道和方式公开相同信息计1条）</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default"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513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（二）通过不同渠道和方式公开政府信息的情况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1.政府公报公开政府信息数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default"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238</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2.政府网站公开政府信息数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default"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195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3.政务微博公开政府信息数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373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4.政务微信公开政府信息数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default"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450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5.其他方式公开政府信息数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default"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224</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（三）回应公众关注热点或重大舆情数</w:t>
            </w:r>
          </w:p>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（不同方式回应同一热点或舆情计1次）</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（四）通过不同渠道和方式回应解读的情况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1.参加或举办新闻发布会总次数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其中：主要负责同志参加新闻发布会次数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2.政府网站在线访谈次数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其中：主要负责同志参加政府网站在线访谈次数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3.政策解读稿件发布数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篇</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4.微博微信回应事件数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default"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113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5.其他方式回应事件数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0</w:t>
            </w:r>
          </w:p>
        </w:tc>
      </w:tr>
      <w:bookmarkEnd w:id="0"/>
    </w:tbl>
    <w:p>
      <w:pPr>
        <w:keepNext w:val="0"/>
        <w:keepLines w:val="0"/>
        <w:pageBreakBefore w:val="0"/>
        <w:kinsoku/>
        <w:wordWrap/>
        <w:overflowPunct/>
        <w:topLinePunct w:val="0"/>
        <w:autoSpaceDE/>
        <w:autoSpaceDN/>
        <w:bidi w:val="0"/>
        <w:spacing w:line="520" w:lineRule="exact"/>
        <w:textAlignment w:val="auto"/>
        <w:rPr>
          <w:rFonts w:hint="eastAsia" w:ascii="楷体_GB2312" w:hAnsi="楷体_GB2312" w:eastAsia="楷体_GB2312" w:cs="楷体_GB2312"/>
          <w:sz w:val="30"/>
          <w:szCs w:val="30"/>
        </w:rPr>
      </w:pPr>
    </w:p>
    <w:p>
      <w:pPr>
        <w:keepNext w:val="0"/>
        <w:keepLines w:val="0"/>
        <w:pageBreakBefore w:val="0"/>
        <w:kinsoku/>
        <w:wordWrap/>
        <w:overflowPunct/>
        <w:topLinePunct w:val="0"/>
        <w:autoSpaceDE/>
        <w:autoSpaceDN/>
        <w:bidi w:val="0"/>
        <w:spacing w:line="520" w:lineRule="exact"/>
        <w:textAlignment w:val="auto"/>
        <w:rPr>
          <w:rFonts w:hint="eastAsia" w:ascii="楷体_GB2312" w:hAnsi="楷体_GB2312" w:eastAsia="楷体_GB2312" w:cs="楷体_GB2312"/>
          <w:sz w:val="32"/>
          <w:szCs w:val="32"/>
        </w:rPr>
      </w:pPr>
      <w:r>
        <w:rPr>
          <w:rFonts w:hint="eastAsia" w:ascii="楷体_GB2312" w:hAnsi="楷体_GB2312" w:eastAsia="楷体_GB2312" w:cs="楷体_GB2312"/>
          <w:sz w:val="30"/>
          <w:szCs w:val="30"/>
        </w:rPr>
        <w:t>2.主动公开政府信息具体情况</w:t>
      </w:r>
    </w:p>
    <w:tbl>
      <w:tblPr>
        <w:tblStyle w:val="3"/>
        <w:tblW w:w="8931"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74"/>
        <w:gridCol w:w="2605"/>
        <w:gridCol w:w="2268"/>
        <w:gridCol w:w="1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信息内容</w:t>
            </w:r>
          </w:p>
        </w:tc>
        <w:tc>
          <w:tcPr>
            <w:tcW w:w="2605"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本年新制作数量</w:t>
            </w:r>
          </w:p>
        </w:tc>
        <w:tc>
          <w:tcPr>
            <w:tcW w:w="2268"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本年新公开数量</w:t>
            </w:r>
          </w:p>
        </w:tc>
        <w:tc>
          <w:tcPr>
            <w:tcW w:w="198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对外公开总数量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规章</w:t>
            </w:r>
          </w:p>
        </w:tc>
        <w:tc>
          <w:tcPr>
            <w:tcW w:w="2605"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2268"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0</w:t>
            </w:r>
          </w:p>
        </w:tc>
        <w:tc>
          <w:tcPr>
            <w:tcW w:w="198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规范性文件</w:t>
            </w:r>
          </w:p>
        </w:tc>
        <w:tc>
          <w:tcPr>
            <w:tcW w:w="2605"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2268"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198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7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信息内容</w:t>
            </w:r>
          </w:p>
        </w:tc>
        <w:tc>
          <w:tcPr>
            <w:tcW w:w="2605"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上一年项目数量</w:t>
            </w:r>
          </w:p>
        </w:tc>
        <w:tc>
          <w:tcPr>
            <w:tcW w:w="2268"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本年增/减</w:t>
            </w:r>
          </w:p>
        </w:tc>
        <w:tc>
          <w:tcPr>
            <w:tcW w:w="198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207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行政许可</w:t>
            </w:r>
          </w:p>
        </w:tc>
        <w:tc>
          <w:tcPr>
            <w:tcW w:w="2605"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17</w:t>
            </w:r>
          </w:p>
        </w:tc>
        <w:tc>
          <w:tcPr>
            <w:tcW w:w="2268"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+8</w:t>
            </w:r>
          </w:p>
        </w:tc>
        <w:tc>
          <w:tcPr>
            <w:tcW w:w="198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default"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none"/>
                <w:lang w:val="en-US" w:eastAsia="zh-CN"/>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其他对外管理服务事项</w:t>
            </w:r>
          </w:p>
        </w:tc>
        <w:tc>
          <w:tcPr>
            <w:tcW w:w="2605"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default"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none"/>
                <w:lang w:val="en-US" w:eastAsia="zh-CN"/>
              </w:rPr>
              <w:t>20</w:t>
            </w:r>
          </w:p>
        </w:tc>
        <w:tc>
          <w:tcPr>
            <w:tcW w:w="2268"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default"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none"/>
                <w:lang w:val="en-US" w:eastAsia="zh-CN"/>
              </w:rPr>
              <w:t>+1</w:t>
            </w:r>
          </w:p>
        </w:tc>
        <w:tc>
          <w:tcPr>
            <w:tcW w:w="198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none"/>
                <w:lang w:val="en-US" w:eastAsia="zh-CN"/>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highlight w:val="none"/>
              </w:rPr>
            </w:pPr>
            <w:r>
              <w:rPr>
                <w:rFonts w:hint="eastAsia" w:ascii="黑体" w:hAnsi="黑体" w:eastAsia="黑体" w:cs="黑体"/>
                <w:sz w:val="24"/>
                <w:highlight w:val="none"/>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highlight w:val="none"/>
              </w:rPr>
            </w:pPr>
            <w:r>
              <w:rPr>
                <w:rFonts w:hint="eastAsia" w:ascii="黑体" w:hAnsi="黑体" w:eastAsia="黑体" w:cs="黑体"/>
                <w:sz w:val="24"/>
                <w:highlight w:val="none"/>
              </w:rPr>
              <w:t>信息内容</w:t>
            </w:r>
          </w:p>
        </w:tc>
        <w:tc>
          <w:tcPr>
            <w:tcW w:w="2605"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highlight w:val="none"/>
              </w:rPr>
            </w:pPr>
            <w:r>
              <w:rPr>
                <w:rFonts w:hint="eastAsia" w:ascii="黑体" w:hAnsi="黑体" w:eastAsia="黑体" w:cs="黑体"/>
                <w:sz w:val="24"/>
                <w:highlight w:val="none"/>
              </w:rPr>
              <w:t>上一年项目数量</w:t>
            </w:r>
          </w:p>
        </w:tc>
        <w:tc>
          <w:tcPr>
            <w:tcW w:w="2268"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highlight w:val="none"/>
              </w:rPr>
            </w:pPr>
            <w:r>
              <w:rPr>
                <w:rFonts w:hint="eastAsia" w:ascii="黑体" w:hAnsi="黑体" w:eastAsia="黑体" w:cs="黑体"/>
                <w:sz w:val="24"/>
                <w:highlight w:val="none"/>
              </w:rPr>
              <w:t>本年增/减</w:t>
            </w:r>
          </w:p>
        </w:tc>
        <w:tc>
          <w:tcPr>
            <w:tcW w:w="198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highlight w:val="none"/>
              </w:rPr>
            </w:pPr>
            <w:r>
              <w:rPr>
                <w:rFonts w:hint="eastAsia" w:ascii="黑体" w:hAnsi="黑体" w:eastAsia="黑体" w:cs="黑体"/>
                <w:sz w:val="24"/>
                <w:highlight w:val="none"/>
              </w:rPr>
              <w:t>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行政处罚</w:t>
            </w:r>
          </w:p>
        </w:tc>
        <w:tc>
          <w:tcPr>
            <w:tcW w:w="2605"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default"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none"/>
                <w:lang w:val="en-US" w:eastAsia="zh-CN"/>
              </w:rPr>
              <w:t>159</w:t>
            </w:r>
          </w:p>
        </w:tc>
        <w:tc>
          <w:tcPr>
            <w:tcW w:w="2268"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default"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none"/>
                <w:lang w:val="en-US" w:eastAsia="zh-CN"/>
              </w:rPr>
              <w:t>+25</w:t>
            </w:r>
          </w:p>
        </w:tc>
        <w:tc>
          <w:tcPr>
            <w:tcW w:w="198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default"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none"/>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行政强制</w:t>
            </w:r>
          </w:p>
        </w:tc>
        <w:tc>
          <w:tcPr>
            <w:tcW w:w="2605"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8</w:t>
            </w:r>
          </w:p>
        </w:tc>
        <w:tc>
          <w:tcPr>
            <w:tcW w:w="2268"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default"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-7</w:t>
            </w:r>
          </w:p>
        </w:tc>
        <w:tc>
          <w:tcPr>
            <w:tcW w:w="198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default" w:ascii="仿宋_GB2312" w:hAnsi="仿宋_GB2312" w:eastAsia="仿宋_GB2312" w:cs="仿宋_GB2312"/>
                <w:sz w:val="24"/>
                <w:highlight w:val="yellow"/>
                <w:lang w:val="en-US" w:eastAsia="zh-CN"/>
              </w:rPr>
            </w:pPr>
            <w:r>
              <w:rPr>
                <w:rFonts w:hint="eastAsia" w:ascii="仿宋_GB2312" w:hAnsi="仿宋_GB2312" w:eastAsia="仿宋_GB2312" w:cs="仿宋_GB2312"/>
                <w:sz w:val="24"/>
                <w:highlight w:val="no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信息内容</w:t>
            </w:r>
          </w:p>
        </w:tc>
        <w:tc>
          <w:tcPr>
            <w:tcW w:w="2605"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上一年项目数量</w:t>
            </w:r>
          </w:p>
        </w:tc>
        <w:tc>
          <w:tcPr>
            <w:tcW w:w="4252" w:type="dxa"/>
            <w:gridSpan w:val="2"/>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本年增/减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行政事业性收费</w:t>
            </w:r>
          </w:p>
        </w:tc>
        <w:tc>
          <w:tcPr>
            <w:tcW w:w="2605"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4252" w:type="dxa"/>
            <w:gridSpan w:val="2"/>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931" w:type="dxa"/>
            <w:gridSpan w:val="4"/>
            <w:noWrap w:val="0"/>
            <w:vAlign w:val="top"/>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第二十条第（九）项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信息内容</w:t>
            </w:r>
          </w:p>
        </w:tc>
        <w:tc>
          <w:tcPr>
            <w:tcW w:w="2605"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采购项目数量</w:t>
            </w:r>
          </w:p>
        </w:tc>
        <w:tc>
          <w:tcPr>
            <w:tcW w:w="4252" w:type="dxa"/>
            <w:gridSpan w:val="2"/>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采购总金额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07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政府集中采购</w:t>
            </w:r>
          </w:p>
        </w:tc>
        <w:tc>
          <w:tcPr>
            <w:tcW w:w="2605"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11</w:t>
            </w:r>
          </w:p>
        </w:tc>
        <w:tc>
          <w:tcPr>
            <w:tcW w:w="4252" w:type="dxa"/>
            <w:gridSpan w:val="2"/>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182.32万元</w:t>
            </w:r>
          </w:p>
        </w:tc>
      </w:tr>
    </w:tbl>
    <w:p>
      <w:pPr>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sz w:val="30"/>
          <w:szCs w:val="30"/>
          <w:lang w:val="en-US" w:eastAsia="zh-CN"/>
        </w:rPr>
      </w:pPr>
    </w:p>
    <w:p>
      <w:pPr>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sz w:val="30"/>
          <w:szCs w:val="30"/>
          <w:lang w:val="en-US" w:eastAsia="zh-CN"/>
        </w:rPr>
      </w:pPr>
      <w:r>
        <w:rPr>
          <w:rFonts w:hint="eastAsia" w:ascii="黑体" w:hAnsi="黑体" w:eastAsia="黑体" w:cs="黑体"/>
          <w:sz w:val="30"/>
          <w:szCs w:val="30"/>
          <w:lang w:val="en-US" w:eastAsia="zh-CN"/>
        </w:rPr>
        <w:t>三、依申请公开情况</w:t>
      </w:r>
    </w:p>
    <w:tbl>
      <w:tblPr>
        <w:tblStyle w:val="3"/>
        <w:tblW w:w="93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5"/>
        <w:gridCol w:w="1141"/>
        <w:gridCol w:w="2029"/>
        <w:gridCol w:w="839"/>
        <w:gridCol w:w="709"/>
        <w:gridCol w:w="709"/>
        <w:gridCol w:w="992"/>
        <w:gridCol w:w="814"/>
        <w:gridCol w:w="481"/>
        <w:gridCol w:w="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restart"/>
            <w:noWrap w:val="0"/>
            <w:vAlign w:val="center"/>
          </w:tcPr>
          <w:p>
            <w:pPr>
              <w:keepNext w:val="0"/>
              <w:keepLines w:val="0"/>
              <w:pageBreakBefore w:val="0"/>
              <w:kinsoku/>
              <w:wordWrap/>
              <w:overflowPunct/>
              <w:topLinePunct w:val="0"/>
              <w:autoSpaceDE/>
              <w:autoSpaceDN/>
              <w:bidi w:val="0"/>
              <w:spacing w:line="520" w:lineRule="exact"/>
              <w:textAlignment w:val="auto"/>
              <w:rPr>
                <w:rFonts w:ascii="宋体" w:hAnsi="宋体"/>
                <w:sz w:val="18"/>
                <w:szCs w:val="18"/>
              </w:rPr>
            </w:pPr>
            <w:r>
              <w:rPr>
                <w:rFonts w:hint="eastAsia" w:ascii="仿宋_GB2312" w:hAnsi="仿宋_GB2312" w:eastAsia="仿宋_GB2312" w:cs="仿宋_GB2312"/>
                <w:sz w:val="24"/>
              </w:rPr>
              <w:t>（本列数据的勾稽关系为：第一项加第二项之和，等于第三项加第四项之和）</w:t>
            </w:r>
          </w:p>
        </w:tc>
        <w:tc>
          <w:tcPr>
            <w:tcW w:w="5174" w:type="dxa"/>
            <w:gridSpan w:val="7"/>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ascii="宋体" w:hAnsi="宋体"/>
                <w:sz w:val="18"/>
                <w:szCs w:val="18"/>
              </w:rPr>
            </w:pPr>
          </w:p>
        </w:tc>
        <w:tc>
          <w:tcPr>
            <w:tcW w:w="839" w:type="dxa"/>
            <w:vMerge w:val="restart"/>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自然人</w:t>
            </w:r>
          </w:p>
        </w:tc>
        <w:tc>
          <w:tcPr>
            <w:tcW w:w="3705" w:type="dxa"/>
            <w:gridSpan w:val="5"/>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法人或其他组织</w:t>
            </w:r>
          </w:p>
        </w:tc>
        <w:tc>
          <w:tcPr>
            <w:tcW w:w="630" w:type="dxa"/>
            <w:vMerge w:val="restart"/>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25" w:type="dxa"/>
            <w:gridSpan w:val="3"/>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ascii="宋体" w:hAnsi="宋体"/>
                <w:sz w:val="18"/>
                <w:szCs w:val="18"/>
              </w:rPr>
            </w:pPr>
          </w:p>
        </w:tc>
        <w:tc>
          <w:tcPr>
            <w:tcW w:w="839"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商业企业</w:t>
            </w: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科研机构</w:t>
            </w: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社会公益组织</w:t>
            </w: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法律服务机构</w:t>
            </w: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其他</w:t>
            </w:r>
          </w:p>
        </w:tc>
        <w:tc>
          <w:tcPr>
            <w:tcW w:w="630"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黑体" w:hAnsi="黑体" w:eastAsia="黑体" w:cs="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4225" w:type="dxa"/>
            <w:gridSpan w:val="3"/>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一、本年新收到政府信息公开申请数量</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4225" w:type="dxa"/>
            <w:gridSpan w:val="3"/>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二、上年转结政府信息公开申请数量</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restart"/>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三、本年度办理结果</w:t>
            </w:r>
          </w:p>
        </w:tc>
        <w:tc>
          <w:tcPr>
            <w:tcW w:w="3170" w:type="dxa"/>
            <w:gridSpan w:val="2"/>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（一）予以公开</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3170" w:type="dxa"/>
            <w:gridSpan w:val="2"/>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（二）部分公开（区分处理的，只计这一情形，不计其他情形）</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1141" w:type="dxa"/>
            <w:vMerge w:val="restart"/>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（三）不予公开</w:t>
            </w:r>
          </w:p>
        </w:tc>
        <w:tc>
          <w:tcPr>
            <w:tcW w:w="2029" w:type="dxa"/>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1.属于国家秘密</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1141"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2029" w:type="dxa"/>
            <w:noWrap w:val="0"/>
            <w:vAlign w:val="center"/>
          </w:tcPr>
          <w:p>
            <w:pPr>
              <w:keepNext w:val="0"/>
              <w:keepLines w:val="0"/>
              <w:pageBreakBefore w:val="0"/>
              <w:kinsoku/>
              <w:wordWrap/>
              <w:overflowPunct/>
              <w:topLinePunct w:val="0"/>
              <w:autoSpaceDE/>
              <w:autoSpaceDN/>
              <w:bidi w:val="0"/>
              <w:spacing w:line="520" w:lineRule="exact"/>
              <w:textAlignment w:val="auto"/>
              <w:rPr>
                <w:rFonts w:hint="default" w:ascii="仿宋_GB2312" w:hAnsi="仿宋_GB2312" w:eastAsia="仿宋_GB2312" w:cs="仿宋_GB2312"/>
                <w:sz w:val="24"/>
                <w:lang w:val="en-US" w:eastAsia="zh-CN"/>
              </w:rPr>
            </w:pPr>
            <w:r>
              <w:rPr>
                <w:rFonts w:hint="eastAsia" w:ascii="仿宋_GB2312" w:hAnsi="仿宋_GB2312" w:eastAsia="仿宋_GB2312" w:cs="仿宋_GB2312"/>
                <w:sz w:val="24"/>
              </w:rPr>
              <w:t>2.其他法律行政法规禁止公开</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1141"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2029" w:type="dxa"/>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3.危及“三安全一稳定”</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1141"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2029" w:type="dxa"/>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4.保护第三方合法权益</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1141"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2029" w:type="dxa"/>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5.属于三类内部事务信息</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1141"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2029" w:type="dxa"/>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6.属于四类过程性信息</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1141"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2029" w:type="dxa"/>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7.属于行政执法案卷</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1141"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2029" w:type="dxa"/>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8.属于行政查询事项</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1141" w:type="dxa"/>
            <w:vMerge w:val="restart"/>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（四）无法提供</w:t>
            </w:r>
          </w:p>
        </w:tc>
        <w:tc>
          <w:tcPr>
            <w:tcW w:w="2029" w:type="dxa"/>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1.本机关不掌握相关政府信息</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1141"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2029" w:type="dxa"/>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2.没有现成信息需要另行制作</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1141"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2029" w:type="dxa"/>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3.补正后申请内容仍不明确</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1141" w:type="dxa"/>
            <w:vMerge w:val="restart"/>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（五）不予处理</w:t>
            </w:r>
          </w:p>
        </w:tc>
        <w:tc>
          <w:tcPr>
            <w:tcW w:w="2029" w:type="dxa"/>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1.信访举报投诉类申请</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1141"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2029" w:type="dxa"/>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2.重复申请</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1141"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2029" w:type="dxa"/>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3.要求提供公开出版物</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1141"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2029" w:type="dxa"/>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4.无正当理由大量反复申请</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1141"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2029" w:type="dxa"/>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5.要求行政机关确认或重新出具已获取信息</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3170" w:type="dxa"/>
            <w:gridSpan w:val="2"/>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（六）其他处理</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1055" w:type="dxa"/>
            <w:vMerge w:val="continue"/>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p>
        </w:tc>
        <w:tc>
          <w:tcPr>
            <w:tcW w:w="3170" w:type="dxa"/>
            <w:gridSpan w:val="2"/>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（七）总计</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4225" w:type="dxa"/>
            <w:gridSpan w:val="3"/>
            <w:noWrap w:val="0"/>
            <w:vAlign w:val="center"/>
          </w:tcPr>
          <w:p>
            <w:pPr>
              <w:keepNext w:val="0"/>
              <w:keepLines w:val="0"/>
              <w:pageBreakBefore w:val="0"/>
              <w:kinsoku/>
              <w:wordWrap/>
              <w:overflowPunct/>
              <w:topLinePunct w:val="0"/>
              <w:autoSpaceDE/>
              <w:autoSpaceDN/>
              <w:bidi w:val="0"/>
              <w:spacing w:line="520" w:lineRule="exact"/>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四、转结下年度继续办理</w:t>
            </w:r>
          </w:p>
        </w:tc>
        <w:tc>
          <w:tcPr>
            <w:tcW w:w="83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709"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992"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81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481"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630"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r>
    </w:tbl>
    <w:p>
      <w:pPr>
        <w:keepNext w:val="0"/>
        <w:keepLines w:val="0"/>
        <w:pageBreakBefore w:val="0"/>
        <w:kinsoku/>
        <w:wordWrap/>
        <w:overflowPunct/>
        <w:topLinePunct w:val="0"/>
        <w:autoSpaceDE/>
        <w:autoSpaceDN/>
        <w:bidi w:val="0"/>
        <w:spacing w:before="312" w:beforeLines="100" w:after="156" w:afterLines="50" w:line="520" w:lineRule="exact"/>
        <w:textAlignment w:val="auto"/>
        <w:outlineLvl w:val="0"/>
        <w:rPr>
          <w:rFonts w:hint="eastAsia" w:ascii="黑体" w:hAnsi="黑体" w:eastAsia="黑体"/>
          <w:sz w:val="30"/>
          <w:szCs w:val="30"/>
        </w:rPr>
      </w:pPr>
    </w:p>
    <w:p>
      <w:pPr>
        <w:keepNext w:val="0"/>
        <w:keepLines w:val="0"/>
        <w:pageBreakBefore w:val="0"/>
        <w:kinsoku/>
        <w:wordWrap/>
        <w:overflowPunct/>
        <w:topLinePunct w:val="0"/>
        <w:autoSpaceDE/>
        <w:autoSpaceDN/>
        <w:bidi w:val="0"/>
        <w:spacing w:before="312" w:beforeLines="100" w:after="156" w:afterLines="50" w:line="520" w:lineRule="exact"/>
        <w:textAlignment w:val="auto"/>
        <w:outlineLvl w:val="0"/>
        <w:rPr>
          <w:rFonts w:hint="eastAsia" w:ascii="黑体" w:hAnsi="黑体" w:eastAsia="黑体"/>
          <w:sz w:val="30"/>
          <w:szCs w:val="30"/>
        </w:rPr>
      </w:pPr>
      <w:r>
        <w:rPr>
          <w:rFonts w:hint="eastAsia" w:ascii="黑体" w:hAnsi="黑体" w:eastAsia="黑体"/>
          <w:sz w:val="30"/>
          <w:szCs w:val="30"/>
          <w:lang w:val="en-US" w:eastAsia="zh-CN"/>
        </w:rPr>
        <w:t>四</w:t>
      </w:r>
      <w:r>
        <w:rPr>
          <w:rFonts w:hint="eastAsia" w:ascii="黑体" w:hAnsi="黑体" w:eastAsia="黑体"/>
          <w:sz w:val="30"/>
          <w:szCs w:val="30"/>
        </w:rPr>
        <w:t>、政府信息公开行政复议、行政诉讼情况</w:t>
      </w: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3"/>
        <w:gridCol w:w="553"/>
        <w:gridCol w:w="553"/>
        <w:gridCol w:w="553"/>
        <w:gridCol w:w="553"/>
        <w:gridCol w:w="553"/>
        <w:gridCol w:w="553"/>
        <w:gridCol w:w="553"/>
        <w:gridCol w:w="553"/>
        <w:gridCol w:w="553"/>
        <w:gridCol w:w="553"/>
        <w:gridCol w:w="553"/>
        <w:gridCol w:w="553"/>
        <w:gridCol w:w="553"/>
        <w:gridCol w:w="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765" w:type="dxa"/>
            <w:gridSpan w:val="5"/>
            <w:vMerge w:val="restart"/>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行政复议</w:t>
            </w:r>
          </w:p>
        </w:tc>
        <w:tc>
          <w:tcPr>
            <w:tcW w:w="5531" w:type="dxa"/>
            <w:gridSpan w:val="10"/>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765" w:type="dxa"/>
            <w:gridSpan w:val="5"/>
            <w:vMerge w:val="continue"/>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p>
        </w:tc>
        <w:tc>
          <w:tcPr>
            <w:tcW w:w="2765" w:type="dxa"/>
            <w:gridSpan w:val="5"/>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未经复议直接起诉</w:t>
            </w:r>
          </w:p>
        </w:tc>
        <w:tc>
          <w:tcPr>
            <w:tcW w:w="2766" w:type="dxa"/>
            <w:gridSpan w:val="5"/>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黑体" w:hAnsi="黑体" w:eastAsia="黑体" w:cs="黑体"/>
                <w:sz w:val="24"/>
              </w:rPr>
            </w:pPr>
            <w:r>
              <w:rPr>
                <w:rFonts w:hint="eastAsia" w:ascii="黑体" w:hAnsi="黑体" w:eastAsia="黑体" w:cs="黑体"/>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总计</w:t>
            </w: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结果维持</w:t>
            </w: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结果纠正</w:t>
            </w: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其他结果</w:t>
            </w: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尚未审结</w:t>
            </w:r>
          </w:p>
        </w:tc>
        <w:tc>
          <w:tcPr>
            <w:tcW w:w="55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r>
              <w:rPr>
                <w:rFonts w:hint="eastAsia" w:ascii="仿宋_GB2312" w:hAnsi="仿宋_GB2312" w:eastAsia="仿宋_GB2312" w:cs="仿宋_GB2312"/>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0" w:hRule="atLeast"/>
          <w:jc w:val="center"/>
        </w:trPr>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553"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rPr>
            </w:pPr>
          </w:p>
        </w:tc>
        <w:tc>
          <w:tcPr>
            <w:tcW w:w="554" w:type="dxa"/>
            <w:noWrap w:val="0"/>
            <w:vAlign w:val="center"/>
          </w:tcPr>
          <w:p>
            <w:pPr>
              <w:keepNext w:val="0"/>
              <w:keepLines w:val="0"/>
              <w:pageBreakBefore w:val="0"/>
              <w:kinsoku/>
              <w:wordWrap/>
              <w:overflowPunct/>
              <w:topLinePunct w:val="0"/>
              <w:autoSpaceDE/>
              <w:autoSpaceDN/>
              <w:bidi w:val="0"/>
              <w:spacing w:line="520" w:lineRule="exact"/>
              <w:jc w:val="center"/>
              <w:textAlignment w:val="auto"/>
              <w:rPr>
                <w:rFonts w:hint="eastAsia"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0</w:t>
            </w:r>
          </w:p>
        </w:tc>
      </w:tr>
    </w:tbl>
    <w:p>
      <w:pPr>
        <w:keepNext w:val="0"/>
        <w:keepLines w:val="0"/>
        <w:pageBreakBefore w:val="0"/>
        <w:kinsoku/>
        <w:wordWrap/>
        <w:overflowPunct/>
        <w:topLinePunct w:val="0"/>
        <w:autoSpaceDE/>
        <w:autoSpaceDN/>
        <w:bidi w:val="0"/>
        <w:spacing w:before="312" w:beforeLines="100" w:after="156" w:afterLines="50" w:line="520" w:lineRule="exact"/>
        <w:textAlignment w:val="auto"/>
        <w:outlineLvl w:val="0"/>
        <w:rPr>
          <w:rFonts w:hint="eastAsia" w:ascii="黑体" w:hAnsi="黑体" w:eastAsia="黑体"/>
          <w:sz w:val="30"/>
          <w:szCs w:val="30"/>
        </w:rPr>
      </w:pPr>
      <w:r>
        <w:rPr>
          <w:rFonts w:hint="eastAsia" w:ascii="黑体" w:hAnsi="黑体" w:eastAsia="黑体"/>
          <w:sz w:val="30"/>
          <w:szCs w:val="30"/>
          <w:lang w:val="en-US" w:eastAsia="zh-CN"/>
        </w:rPr>
        <w:t>五</w:t>
      </w:r>
      <w:r>
        <w:rPr>
          <w:rFonts w:hint="eastAsia" w:ascii="黑体" w:hAnsi="黑体" w:eastAsia="黑体"/>
          <w:sz w:val="30"/>
          <w:szCs w:val="30"/>
        </w:rPr>
        <w:t>、机构建设及组织保障情况</w:t>
      </w:r>
    </w:p>
    <w:tbl>
      <w:tblPr>
        <w:tblStyle w:val="3"/>
        <w:tblW w:w="0" w:type="auto"/>
        <w:jc w:val="center"/>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Layout w:type="fixed"/>
        <w:tblCellMar>
          <w:top w:w="0" w:type="dxa"/>
          <w:left w:w="0" w:type="dxa"/>
          <w:bottom w:w="0" w:type="dxa"/>
          <w:right w:w="0" w:type="dxa"/>
        </w:tblCellMar>
      </w:tblPr>
      <w:tblGrid>
        <w:gridCol w:w="6455"/>
        <w:gridCol w:w="806"/>
        <w:gridCol w:w="1619"/>
      </w:tblGrid>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黑体" w:hAnsi="黑体" w:eastAsia="黑体" w:cs="黑体"/>
                <w:snapToGrid w:val="0"/>
                <w:spacing w:val="-4"/>
                <w:kern w:val="0"/>
                <w:sz w:val="24"/>
              </w:rPr>
            </w:pPr>
            <w:r>
              <w:rPr>
                <w:rFonts w:hint="eastAsia" w:ascii="黑体" w:hAnsi="黑体" w:eastAsia="黑体" w:cs="黑体"/>
                <w:snapToGrid w:val="0"/>
                <w:spacing w:val="-4"/>
                <w:kern w:val="0"/>
                <w:sz w:val="24"/>
              </w:rPr>
              <w:t>统　计　指　标</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黑体" w:hAnsi="黑体" w:eastAsia="黑体" w:cs="黑体"/>
                <w:snapToGrid w:val="0"/>
                <w:spacing w:val="-4"/>
                <w:kern w:val="0"/>
                <w:sz w:val="24"/>
              </w:rPr>
            </w:pPr>
            <w:r>
              <w:rPr>
                <w:rFonts w:hint="eastAsia" w:ascii="黑体" w:hAnsi="黑体" w:eastAsia="黑体" w:cs="黑体"/>
                <w:snapToGrid w:val="0"/>
                <w:spacing w:val="-4"/>
                <w:kern w:val="0"/>
                <w:sz w:val="24"/>
              </w:rPr>
              <w:t>单位</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黑体" w:hAnsi="黑体" w:eastAsia="黑体" w:cs="黑体"/>
                <w:snapToGrid w:val="0"/>
                <w:spacing w:val="-4"/>
                <w:kern w:val="0"/>
                <w:sz w:val="24"/>
              </w:rPr>
            </w:pPr>
            <w:r>
              <w:rPr>
                <w:rFonts w:hint="eastAsia" w:ascii="黑体" w:hAnsi="黑体" w:eastAsia="黑体" w:cs="黑体"/>
                <w:snapToGrid w:val="0"/>
                <w:spacing w:val="-4"/>
                <w:kern w:val="0"/>
                <w:sz w:val="24"/>
              </w:rPr>
              <w:t>统计数</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（一）机构建设、保障经费情况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1.政府信息公开工作专门机构数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个</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2.设置政府信息公开查阅点数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个</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3.从事政府信息公开工作人员数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人</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default"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专职人员数（不包括政府公报及政府网站工作人员数）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人</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3</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兼职人员数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人</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0</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102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kinsoku/>
              <w:wordWrap/>
              <w:overflowPunct/>
              <w:topLinePunct w:val="0"/>
              <w:autoSpaceDE/>
              <w:autoSpaceDN/>
              <w:bidi w:val="0"/>
              <w:spacing w:line="520" w:lineRule="exact"/>
              <w:ind w:firstLine="404" w:firstLineChars="200"/>
              <w:textAlignment w:val="auto"/>
              <w:rPr>
                <w:rFonts w:hint="eastAsia" w:ascii="仿宋_GB2312" w:hAnsi="仿宋_GB2312" w:eastAsia="仿宋_GB2312" w:cs="仿宋_GB2312"/>
                <w:snapToGrid w:val="0"/>
                <w:spacing w:val="-4"/>
                <w:kern w:val="0"/>
              </w:rPr>
            </w:pPr>
            <w:r>
              <w:rPr>
                <w:rFonts w:hint="eastAsia" w:ascii="仿宋_GB2312" w:hAnsi="仿宋_GB2312" w:eastAsia="仿宋_GB2312" w:cs="仿宋_GB2312"/>
                <w:snapToGrid w:val="0"/>
                <w:spacing w:val="-4"/>
                <w:kern w:val="0"/>
              </w:rPr>
              <w:t>4</w:t>
            </w:r>
            <w:r>
              <w:rPr>
                <w:rFonts w:hint="eastAsia" w:ascii="仿宋_GB2312" w:hAnsi="仿宋_GB2312" w:eastAsia="仿宋_GB2312" w:cs="仿宋_GB2312"/>
                <w:sz w:val="24"/>
              </w:rPr>
              <w:t>.政府信息公开专项经费（不包括用于政府公报编辑管理及政府网站建设维护等方面的经费）</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万元</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default"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1.5</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437"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（二）政府信息公开会议和培训情况</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1.召开政府信息公开工作会议或专题会议数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2.举办各类培训班数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eastAsia"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1</w:t>
            </w:r>
          </w:p>
        </w:tc>
      </w:tr>
      <w:tr>
        <w:tblPrEx>
          <w:tblBorders>
            <w:top w:val="single" w:color="0A0A0A" w:sz="6" w:space="0"/>
            <w:left w:val="single" w:color="0A0A0A" w:sz="6" w:space="0"/>
            <w:bottom w:val="single" w:color="0A0A0A" w:sz="6" w:space="0"/>
            <w:right w:val="single" w:color="0A0A0A" w:sz="6" w:space="0"/>
            <w:insideH w:val="none" w:color="auto" w:sz="0" w:space="0"/>
            <w:insideV w:val="none" w:color="auto" w:sz="0" w:space="0"/>
          </w:tblBorders>
          <w:tblCellMar>
            <w:top w:w="0" w:type="dxa"/>
            <w:left w:w="0" w:type="dxa"/>
            <w:bottom w:w="0" w:type="dxa"/>
            <w:right w:w="0" w:type="dxa"/>
          </w:tblCellMar>
        </w:tblPrEx>
        <w:trPr>
          <w:trHeight w:val="340" w:hRule="atLeast"/>
          <w:jc w:val="center"/>
        </w:trPr>
        <w:tc>
          <w:tcPr>
            <w:tcW w:w="6455"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　　3.接受培训人员数</w:t>
            </w:r>
          </w:p>
        </w:tc>
        <w:tc>
          <w:tcPr>
            <w:tcW w:w="806"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仿宋_GB2312" w:hAnsi="仿宋_GB2312" w:eastAsia="仿宋_GB2312" w:cs="仿宋_GB2312"/>
                <w:snapToGrid w:val="0"/>
                <w:spacing w:val="-4"/>
                <w:kern w:val="0"/>
                <w:sz w:val="24"/>
              </w:rPr>
            </w:pPr>
            <w:r>
              <w:rPr>
                <w:rFonts w:hint="eastAsia" w:ascii="仿宋_GB2312" w:hAnsi="仿宋_GB2312" w:eastAsia="仿宋_GB2312" w:cs="仿宋_GB2312"/>
                <w:snapToGrid w:val="0"/>
                <w:spacing w:val="-4"/>
                <w:kern w:val="0"/>
                <w:sz w:val="24"/>
              </w:rPr>
              <w:t>人次</w:t>
            </w:r>
          </w:p>
        </w:tc>
        <w:tc>
          <w:tcPr>
            <w:tcW w:w="1619" w:type="dxa"/>
            <w:tcBorders>
              <w:top w:val="outset" w:color="000000" w:sz="6" w:space="0"/>
              <w:left w:val="outset" w:color="000000" w:sz="6" w:space="0"/>
              <w:bottom w:val="outset" w:color="000000" w:sz="6" w:space="0"/>
              <w:right w:val="outset" w:color="000000" w:sz="6" w:space="0"/>
            </w:tcBorders>
            <w:shd w:val="clear" w:color="auto" w:fill="FFFFFF"/>
            <w:noWrap w:val="0"/>
            <w:vAlign w:val="center"/>
          </w:tcPr>
          <w:p>
            <w:pPr>
              <w:keepNext w:val="0"/>
              <w:keepLines w:val="0"/>
              <w:pageBreakBefore w:val="0"/>
              <w:widowControl/>
              <w:kinsoku/>
              <w:wordWrap/>
              <w:overflowPunct/>
              <w:topLinePunct w:val="0"/>
              <w:autoSpaceDE/>
              <w:autoSpaceDN/>
              <w:bidi w:val="0"/>
              <w:adjustRightInd w:val="0"/>
              <w:snapToGrid w:val="0"/>
              <w:spacing w:before="100" w:beforeAutospacing="1" w:after="100" w:afterAutospacing="1" w:line="520" w:lineRule="exact"/>
              <w:jc w:val="center"/>
              <w:textAlignment w:val="auto"/>
              <w:rPr>
                <w:rFonts w:hint="default" w:ascii="仿宋_GB2312" w:hAnsi="仿宋_GB2312" w:eastAsia="仿宋_GB2312" w:cs="仿宋_GB2312"/>
                <w:snapToGrid w:val="0"/>
                <w:spacing w:val="-4"/>
                <w:kern w:val="0"/>
                <w:sz w:val="24"/>
                <w:lang w:val="en-US" w:eastAsia="zh-CN"/>
              </w:rPr>
            </w:pPr>
            <w:r>
              <w:rPr>
                <w:rFonts w:hint="eastAsia" w:ascii="仿宋_GB2312" w:hAnsi="仿宋_GB2312" w:eastAsia="仿宋_GB2312" w:cs="仿宋_GB2312"/>
                <w:snapToGrid w:val="0"/>
                <w:spacing w:val="-4"/>
                <w:kern w:val="0"/>
                <w:sz w:val="24"/>
                <w:lang w:val="en-US" w:eastAsia="zh-CN"/>
              </w:rPr>
              <w:t>50</w:t>
            </w:r>
          </w:p>
        </w:tc>
      </w:tr>
    </w:tbl>
    <w:p>
      <w:pPr>
        <w:keepNext w:val="0"/>
        <w:keepLines w:val="0"/>
        <w:pageBreakBefore w:val="0"/>
        <w:widowControl/>
        <w:numPr>
          <w:ilvl w:val="0"/>
          <w:numId w:val="1"/>
        </w:numPr>
        <w:kinsoku/>
        <w:wordWrap/>
        <w:overflowPunct/>
        <w:topLinePunct w:val="0"/>
        <w:autoSpaceDE/>
        <w:autoSpaceDN/>
        <w:bidi w:val="0"/>
        <w:adjustRightInd w:val="0"/>
        <w:snapToGrid w:val="0"/>
        <w:spacing w:before="100" w:beforeAutospacing="1" w:after="100" w:afterAutospacing="1" w:line="520" w:lineRule="exact"/>
        <w:jc w:val="left"/>
        <w:textAlignment w:val="auto"/>
        <w:rPr>
          <w:rFonts w:hint="eastAsia" w:ascii="黑体" w:hAnsi="黑体" w:eastAsia="黑体"/>
          <w:sz w:val="30"/>
          <w:szCs w:val="30"/>
          <w:lang w:val="en-US" w:eastAsia="zh-CN"/>
        </w:rPr>
      </w:pPr>
      <w:r>
        <w:rPr>
          <w:rFonts w:hint="eastAsia" w:ascii="黑体" w:hAnsi="黑体" w:eastAsia="黑体" w:cs="黑体"/>
          <w:sz w:val="30"/>
          <w:szCs w:val="30"/>
          <w:lang w:val="en-US" w:eastAsia="zh-CN"/>
        </w:rPr>
        <w:t>监督保障制度</w:t>
      </w:r>
    </w:p>
    <w:p>
      <w:pPr>
        <w:keepNext w:val="0"/>
        <w:keepLines w:val="0"/>
        <w:pageBreakBefore w:val="0"/>
        <w:widowControl/>
        <w:numPr>
          <w:numId w:val="0"/>
        </w:numPr>
        <w:kinsoku/>
        <w:wordWrap/>
        <w:overflowPunct/>
        <w:topLinePunct w:val="0"/>
        <w:autoSpaceDE/>
        <w:autoSpaceDN/>
        <w:bidi w:val="0"/>
        <w:adjustRightInd w:val="0"/>
        <w:snapToGrid w:val="0"/>
        <w:spacing w:before="100" w:beforeAutospacing="1" w:after="100" w:afterAutospacing="1" w:line="520" w:lineRule="exact"/>
        <w:ind w:firstLine="464" w:firstLineChars="200"/>
        <w:jc w:val="left"/>
        <w:textAlignment w:val="auto"/>
        <w:rPr>
          <w:rFonts w:hint="eastAsia" w:ascii="黑体" w:hAnsi="黑体" w:eastAsia="黑体"/>
          <w:sz w:val="30"/>
          <w:szCs w:val="30"/>
          <w:lang w:val="en-US" w:eastAsia="zh-CN"/>
        </w:rPr>
      </w:pPr>
      <w:r>
        <w:rPr>
          <w:rFonts w:hint="eastAsia" w:ascii="仿宋_GB2312" w:hAnsi="仿宋_GB2312" w:eastAsia="仿宋_GB2312" w:cs="仿宋_GB2312"/>
          <w:snapToGrid w:val="0"/>
          <w:spacing w:val="-4"/>
          <w:kern w:val="0"/>
          <w:sz w:val="24"/>
          <w:lang w:val="en-US" w:eastAsia="zh-CN"/>
        </w:rPr>
        <w:t>一是加强监督管理局。明确一名分管政工副书记负责政府信息公开，局办公室负责信息公开统筹协调，不同板块由不同科室负责，科室实行科长负责制，指定工作人员负责本科室的信息公开。二是加强保密审查。建立保密审查机制，明确审查</w:t>
      </w:r>
      <w:bookmarkStart w:id="1" w:name="_GoBack"/>
      <w:r>
        <w:rPr>
          <w:rFonts w:hint="eastAsia" w:ascii="仿宋_GB2312" w:hAnsi="仿宋_GB2312" w:eastAsia="仿宋_GB2312" w:cs="仿宋_GB2312"/>
          <w:snapToGrid w:val="0"/>
          <w:spacing w:val="-4"/>
          <w:kern w:val="0"/>
          <w:sz w:val="24"/>
          <w:lang w:val="en-US" w:eastAsia="zh-CN"/>
        </w:rPr>
        <w:t>程序和责任人对主动公开的，明确要求科室及时申报，办公室事前审核，准确把握</w:t>
      </w:r>
      <w:bookmarkEnd w:id="1"/>
      <w:r>
        <w:rPr>
          <w:rFonts w:hint="eastAsia" w:ascii="仿宋_GB2312" w:hAnsi="仿宋_GB2312" w:eastAsia="仿宋_GB2312" w:cs="仿宋_GB2312"/>
          <w:snapToGrid w:val="0"/>
          <w:spacing w:val="-4"/>
          <w:kern w:val="0"/>
          <w:sz w:val="24"/>
          <w:lang w:val="en-US" w:eastAsia="zh-CN"/>
        </w:rPr>
        <w:t>公开范围、形式和时间，对依申请公开，由办公室统一，承办处理提出办理意见，最后报分管副局长审定。三是加强社会监督，把涉及群众和企业切身利益的各类权力运行过程作为信息公开的重点内容，对决策、执行、结果等信息依法公开，对权力事项办理办事流程、完成时限、受理人及联系电话等信息主动公开通过依申请公开、局长信箱等方式，及时向社会公众、服务对象和基层单位提供信息和解决问题。</w:t>
      </w:r>
    </w:p>
    <w:p>
      <w:pPr>
        <w:keepNext w:val="0"/>
        <w:keepLines w:val="0"/>
        <w:pageBreakBefore w:val="0"/>
        <w:kinsoku/>
        <w:wordWrap/>
        <w:overflowPunct/>
        <w:topLinePunct w:val="0"/>
        <w:autoSpaceDE/>
        <w:autoSpaceDN/>
        <w:bidi w:val="0"/>
        <w:spacing w:before="312" w:beforeLines="100" w:after="156" w:afterLines="50" w:line="520" w:lineRule="exact"/>
        <w:textAlignment w:val="auto"/>
        <w:outlineLvl w:val="0"/>
        <w:rPr>
          <w:rFonts w:hint="eastAsia" w:ascii="黑体" w:hAnsi="黑体" w:eastAsia="黑体"/>
          <w:sz w:val="30"/>
          <w:szCs w:val="30"/>
        </w:rPr>
      </w:pPr>
      <w:r>
        <w:rPr>
          <w:rFonts w:hint="eastAsia" w:ascii="黑体" w:hAnsi="黑体" w:eastAsia="黑体"/>
          <w:sz w:val="30"/>
          <w:szCs w:val="30"/>
          <w:lang w:val="en-US" w:eastAsia="zh-CN"/>
        </w:rPr>
        <w:t>七</w:t>
      </w:r>
      <w:r>
        <w:rPr>
          <w:rFonts w:hint="eastAsia" w:ascii="黑体" w:hAnsi="黑体" w:eastAsia="黑体"/>
          <w:sz w:val="30"/>
          <w:szCs w:val="30"/>
        </w:rPr>
        <w:t>、存在的主要问题及改进情况</w:t>
      </w:r>
    </w:p>
    <w:p>
      <w:pPr>
        <w:keepNext w:val="0"/>
        <w:keepLines w:val="0"/>
        <w:pageBreakBefore w:val="0"/>
        <w:widowControl/>
        <w:kinsoku/>
        <w:wordWrap/>
        <w:overflowPunct/>
        <w:topLinePunct w:val="0"/>
        <w:autoSpaceDE/>
        <w:autoSpaceDN/>
        <w:bidi w:val="0"/>
        <w:spacing w:line="520" w:lineRule="exact"/>
        <w:ind w:firstLine="480" w:firstLineChars="200"/>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w:t>
      </w:r>
      <w:r>
        <w:rPr>
          <w:rFonts w:hint="eastAsia" w:ascii="仿宋_GB2312" w:hAnsi="仿宋_GB2312" w:eastAsia="仿宋_GB2312" w:cs="仿宋_GB2312"/>
          <w:kern w:val="0"/>
          <w:sz w:val="24"/>
          <w:szCs w:val="24"/>
          <w:lang w:val="en-US" w:eastAsia="zh-CN"/>
        </w:rPr>
        <w:t>20</w:t>
      </w:r>
      <w:r>
        <w:rPr>
          <w:rFonts w:hint="eastAsia" w:ascii="仿宋_GB2312" w:hAnsi="仿宋_GB2312" w:eastAsia="仿宋_GB2312" w:cs="仿宋_GB2312"/>
          <w:kern w:val="0"/>
          <w:sz w:val="24"/>
          <w:szCs w:val="24"/>
        </w:rPr>
        <w:t>年，我局政府信息公开工作，在领导的高度重视下，总体进展较为顺利，但也存在</w:t>
      </w:r>
      <w:r>
        <w:rPr>
          <w:rFonts w:hint="eastAsia" w:ascii="仿宋_GB2312" w:hAnsi="仿宋_GB2312" w:eastAsia="仿宋_GB2312" w:cs="仿宋_GB2312"/>
          <w:kern w:val="0"/>
          <w:sz w:val="24"/>
          <w:szCs w:val="24"/>
          <w:lang w:val="en-US" w:eastAsia="zh-CN"/>
        </w:rPr>
        <w:t>主动公开信息涉及面不广</w:t>
      </w:r>
      <w:r>
        <w:rPr>
          <w:rFonts w:hint="eastAsia" w:ascii="仿宋_GB2312" w:hAnsi="仿宋_GB2312" w:eastAsia="仿宋_GB2312" w:cs="仿宋_GB2312"/>
          <w:kern w:val="0"/>
          <w:sz w:val="24"/>
          <w:szCs w:val="24"/>
        </w:rPr>
        <w:t>、公开</w:t>
      </w:r>
      <w:r>
        <w:rPr>
          <w:rFonts w:hint="eastAsia" w:ascii="仿宋_GB2312" w:hAnsi="仿宋_GB2312" w:eastAsia="仿宋_GB2312" w:cs="仿宋_GB2312"/>
          <w:kern w:val="0"/>
          <w:sz w:val="24"/>
          <w:szCs w:val="24"/>
          <w:lang w:val="en-US" w:eastAsia="zh-CN"/>
        </w:rPr>
        <w:t>形式不够便民</w:t>
      </w:r>
      <w:r>
        <w:rPr>
          <w:rFonts w:hint="eastAsia" w:ascii="仿宋_GB2312" w:hAnsi="仿宋_GB2312" w:eastAsia="仿宋_GB2312" w:cs="仿宋_GB2312"/>
          <w:kern w:val="0"/>
          <w:sz w:val="24"/>
          <w:szCs w:val="24"/>
        </w:rPr>
        <w:t>、公开</w:t>
      </w:r>
      <w:r>
        <w:rPr>
          <w:rFonts w:hint="eastAsia" w:ascii="仿宋_GB2312" w:hAnsi="仿宋_GB2312" w:eastAsia="仿宋_GB2312" w:cs="仿宋_GB2312"/>
          <w:kern w:val="0"/>
          <w:sz w:val="24"/>
          <w:szCs w:val="24"/>
          <w:lang w:val="en-US" w:eastAsia="zh-CN"/>
        </w:rPr>
        <w:t>质量有待提升</w:t>
      </w:r>
      <w:r>
        <w:rPr>
          <w:rFonts w:hint="eastAsia" w:ascii="仿宋_GB2312" w:hAnsi="仿宋_GB2312" w:eastAsia="仿宋_GB2312" w:cs="仿宋_GB2312"/>
          <w:kern w:val="0"/>
          <w:sz w:val="24"/>
          <w:szCs w:val="24"/>
        </w:rPr>
        <w:t>、从业人员不专业等问题。下阶段我局将严格按照县政府统一安排，进一步推进政府信息公开工作。主要将从以下几个方面加以改进：</w:t>
      </w:r>
    </w:p>
    <w:p>
      <w:pPr>
        <w:keepNext w:val="0"/>
        <w:keepLines w:val="0"/>
        <w:pageBreakBefore w:val="0"/>
        <w:widowControl/>
        <w:numPr>
          <w:ilvl w:val="0"/>
          <w:numId w:val="2"/>
        </w:numPr>
        <w:kinsoku/>
        <w:wordWrap/>
        <w:overflowPunct/>
        <w:topLinePunct w:val="0"/>
        <w:autoSpaceDE/>
        <w:autoSpaceDN/>
        <w:bidi w:val="0"/>
        <w:spacing w:line="520" w:lineRule="exact"/>
        <w:ind w:firstLine="480" w:firstLineChars="200"/>
        <w:jc w:val="left"/>
        <w:textAlignment w:val="auto"/>
        <w:rPr>
          <w:rFonts w:hint="eastAsia" w:ascii="仿宋_GB2312" w:hAnsi="仿宋_GB2312" w:eastAsia="仿宋_GB2312" w:cs="仿宋_GB2312"/>
          <w:kern w:val="0"/>
          <w:sz w:val="24"/>
          <w:szCs w:val="24"/>
          <w:lang w:val="en-US" w:eastAsia="zh-CN"/>
        </w:rPr>
      </w:pPr>
      <w:r>
        <w:rPr>
          <w:rFonts w:hint="eastAsia" w:ascii="仿宋_GB2312" w:hAnsi="仿宋_GB2312" w:eastAsia="仿宋_GB2312" w:cs="仿宋_GB2312"/>
          <w:kern w:val="0"/>
          <w:sz w:val="24"/>
          <w:szCs w:val="24"/>
          <w:lang w:val="en-US" w:eastAsia="zh-CN"/>
        </w:rPr>
        <w:t>加强梳理精度</w:t>
      </w:r>
      <w:r>
        <w:rPr>
          <w:rFonts w:hint="eastAsia" w:ascii="仿宋_GB2312" w:hAnsi="仿宋_GB2312" w:eastAsia="仿宋_GB2312" w:cs="仿宋_GB2312"/>
          <w:kern w:val="0"/>
          <w:sz w:val="24"/>
          <w:szCs w:val="24"/>
        </w:rPr>
        <w:t>，</w:t>
      </w:r>
      <w:r>
        <w:rPr>
          <w:rFonts w:hint="eastAsia" w:ascii="仿宋_GB2312" w:hAnsi="仿宋_GB2312" w:eastAsia="仿宋_GB2312" w:cs="仿宋_GB2312"/>
          <w:kern w:val="0"/>
          <w:sz w:val="24"/>
          <w:szCs w:val="24"/>
          <w:lang w:val="en-US" w:eastAsia="zh-CN"/>
        </w:rPr>
        <w:t>进一步</w:t>
      </w:r>
      <w:r>
        <w:rPr>
          <w:rFonts w:hint="eastAsia" w:ascii="仿宋_GB2312" w:hAnsi="仿宋_GB2312" w:eastAsia="仿宋_GB2312" w:cs="仿宋_GB2312"/>
          <w:kern w:val="0"/>
          <w:sz w:val="24"/>
          <w:szCs w:val="24"/>
        </w:rPr>
        <w:t>扩大公开内容。</w:t>
      </w:r>
      <w:r>
        <w:rPr>
          <w:rFonts w:hint="eastAsia" w:ascii="仿宋_GB2312" w:hAnsi="仿宋_GB2312" w:eastAsia="仿宋_GB2312" w:cs="仿宋_GB2312"/>
          <w:kern w:val="0"/>
          <w:sz w:val="24"/>
          <w:szCs w:val="24"/>
          <w:lang w:val="en-US" w:eastAsia="zh-CN"/>
        </w:rPr>
        <w:t>对照基层政务公开标准目录，参考省市同系统政务公开目录，学习优秀县市区文旅行业公开政务目录，结合本地实际，编制出台适合地区行业的政务公开标准目录，做到应公开的尽公开，可公开的也公开。</w:t>
      </w:r>
    </w:p>
    <w:p>
      <w:pPr>
        <w:keepNext w:val="0"/>
        <w:keepLines w:val="0"/>
        <w:pageBreakBefore w:val="0"/>
        <w:widowControl/>
        <w:numPr>
          <w:ilvl w:val="0"/>
          <w:numId w:val="2"/>
        </w:numPr>
        <w:kinsoku/>
        <w:wordWrap/>
        <w:overflowPunct/>
        <w:topLinePunct w:val="0"/>
        <w:autoSpaceDE/>
        <w:autoSpaceDN/>
        <w:bidi w:val="0"/>
        <w:spacing w:line="520" w:lineRule="exact"/>
        <w:ind w:left="0" w:leftChars="0" w:firstLine="480" w:firstLineChars="200"/>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加强载体建设，</w:t>
      </w:r>
      <w:r>
        <w:rPr>
          <w:rFonts w:hint="eastAsia" w:ascii="仿宋_GB2312" w:hAnsi="仿宋_GB2312" w:eastAsia="仿宋_GB2312" w:cs="仿宋_GB2312"/>
          <w:kern w:val="0"/>
          <w:sz w:val="24"/>
          <w:szCs w:val="24"/>
          <w:lang w:val="en-US" w:eastAsia="zh-CN"/>
        </w:rPr>
        <w:t>进一步</w:t>
      </w:r>
      <w:r>
        <w:rPr>
          <w:rFonts w:hint="eastAsia" w:ascii="仿宋_GB2312" w:hAnsi="仿宋_GB2312" w:eastAsia="仿宋_GB2312" w:cs="仿宋_GB2312"/>
          <w:kern w:val="0"/>
          <w:sz w:val="24"/>
          <w:szCs w:val="24"/>
        </w:rPr>
        <w:t>加大群众参与度。</w:t>
      </w:r>
      <w:r>
        <w:rPr>
          <w:rFonts w:hint="eastAsia" w:ascii="仿宋_GB2312" w:hAnsi="仿宋_GB2312" w:eastAsia="仿宋_GB2312" w:cs="仿宋_GB2312"/>
          <w:kern w:val="0"/>
          <w:sz w:val="24"/>
          <w:szCs w:val="24"/>
          <w:lang w:val="en-US" w:eastAsia="zh-CN"/>
        </w:rPr>
        <w:t>依托图书馆、城市书房、网吧等公共文化旅游场所，建立贴近群众生活的政务公开网络，</w:t>
      </w:r>
      <w:r>
        <w:rPr>
          <w:rFonts w:hint="eastAsia" w:ascii="仿宋_GB2312" w:hAnsi="仿宋_GB2312" w:eastAsia="仿宋_GB2312" w:cs="仿宋_GB2312"/>
          <w:kern w:val="0"/>
          <w:sz w:val="24"/>
          <w:szCs w:val="24"/>
        </w:rPr>
        <w:t>切实加强政务信息公开咨询服务工作，方便公众获取信息。</w:t>
      </w:r>
    </w:p>
    <w:p>
      <w:pPr>
        <w:keepNext w:val="0"/>
        <w:keepLines w:val="0"/>
        <w:pageBreakBefore w:val="0"/>
        <w:widowControl/>
        <w:kinsoku/>
        <w:wordWrap/>
        <w:overflowPunct/>
        <w:topLinePunct w:val="0"/>
        <w:autoSpaceDE/>
        <w:autoSpaceDN/>
        <w:bidi w:val="0"/>
        <w:spacing w:line="520" w:lineRule="exact"/>
        <w:ind w:firstLine="480" w:firstLineChars="200"/>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3、</w:t>
      </w:r>
      <w:r>
        <w:rPr>
          <w:rFonts w:hint="eastAsia" w:ascii="仿宋_GB2312" w:hAnsi="仿宋_GB2312" w:eastAsia="仿宋_GB2312" w:cs="仿宋_GB2312"/>
          <w:kern w:val="0"/>
          <w:sz w:val="24"/>
          <w:szCs w:val="24"/>
        </w:rPr>
        <w:t>加强业务指导</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rPr>
        <w:t>进一步规范</w:t>
      </w:r>
      <w:r>
        <w:rPr>
          <w:rFonts w:hint="eastAsia" w:ascii="仿宋_GB2312" w:hAnsi="仿宋_GB2312" w:eastAsia="仿宋_GB2312" w:cs="仿宋_GB2312"/>
          <w:kern w:val="0"/>
          <w:sz w:val="24"/>
          <w:szCs w:val="24"/>
          <w:lang w:val="en-US" w:eastAsia="zh-CN"/>
        </w:rPr>
        <w:t>公开工作</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加强</w:t>
      </w:r>
      <w:r>
        <w:rPr>
          <w:rFonts w:hint="eastAsia" w:ascii="仿宋_GB2312" w:hAnsi="仿宋_GB2312" w:eastAsia="仿宋_GB2312" w:cs="仿宋_GB2312"/>
          <w:kern w:val="0"/>
          <w:sz w:val="24"/>
          <w:szCs w:val="24"/>
        </w:rPr>
        <w:t>完善政务信息公开内容审查、保密审查和更新维护等工作制度</w:t>
      </w:r>
      <w:r>
        <w:rPr>
          <w:rFonts w:hint="eastAsia" w:ascii="仿宋_GB2312" w:hAnsi="仿宋_GB2312" w:eastAsia="仿宋_GB2312" w:cs="仿宋_GB2312"/>
          <w:kern w:val="0"/>
          <w:sz w:val="24"/>
          <w:szCs w:val="24"/>
          <w:lang w:val="en-US" w:eastAsia="zh-CN"/>
        </w:rPr>
        <w:t>建设</w:t>
      </w:r>
      <w:r>
        <w:rPr>
          <w:rFonts w:hint="eastAsia" w:ascii="仿宋_GB2312" w:hAnsi="仿宋_GB2312" w:eastAsia="仿宋_GB2312" w:cs="仿宋_GB2312"/>
          <w:kern w:val="0"/>
          <w:sz w:val="24"/>
          <w:szCs w:val="24"/>
          <w:lang w:eastAsia="zh-CN"/>
        </w:rPr>
        <w:t>。</w:t>
      </w:r>
      <w:r>
        <w:rPr>
          <w:rFonts w:hint="eastAsia" w:ascii="仿宋_GB2312" w:hAnsi="仿宋_GB2312" w:eastAsia="仿宋_GB2312" w:cs="仿宋_GB2312"/>
          <w:kern w:val="0"/>
          <w:sz w:val="24"/>
          <w:szCs w:val="24"/>
          <w:lang w:val="en-US" w:eastAsia="zh-CN"/>
        </w:rPr>
        <w:t>按计划</w:t>
      </w:r>
      <w:r>
        <w:rPr>
          <w:rFonts w:hint="eastAsia" w:ascii="仿宋_GB2312" w:hAnsi="仿宋_GB2312" w:eastAsia="仿宋_GB2312" w:cs="仿宋_GB2312"/>
          <w:kern w:val="0"/>
          <w:sz w:val="24"/>
          <w:szCs w:val="24"/>
        </w:rPr>
        <w:t>组织专题业务培训，开展工作检查，深化公开内容，规范工作流程，进一步提升政府信息公开工作质量。</w:t>
      </w:r>
    </w:p>
    <w:p>
      <w:pPr>
        <w:keepNext w:val="0"/>
        <w:keepLines w:val="0"/>
        <w:pageBreakBefore w:val="0"/>
        <w:kinsoku/>
        <w:wordWrap/>
        <w:overflowPunct/>
        <w:topLinePunct w:val="0"/>
        <w:autoSpaceDE/>
        <w:autoSpaceDN/>
        <w:bidi w:val="0"/>
        <w:spacing w:before="312" w:beforeLines="100" w:after="156" w:afterLines="50" w:line="520" w:lineRule="exact"/>
        <w:textAlignment w:val="auto"/>
        <w:outlineLvl w:val="0"/>
        <w:rPr>
          <w:rFonts w:hint="eastAsia" w:ascii="黑体" w:hAnsi="黑体" w:eastAsia="黑体"/>
          <w:sz w:val="30"/>
          <w:szCs w:val="30"/>
        </w:rPr>
      </w:pPr>
      <w:r>
        <w:rPr>
          <w:rFonts w:hint="eastAsia" w:ascii="黑体" w:hAnsi="黑体" w:eastAsia="黑体"/>
          <w:sz w:val="30"/>
          <w:szCs w:val="30"/>
          <w:lang w:val="en-US" w:eastAsia="zh-CN"/>
        </w:rPr>
        <w:t>八</w:t>
      </w:r>
      <w:r>
        <w:rPr>
          <w:rFonts w:hint="eastAsia" w:ascii="黑体" w:hAnsi="黑体" w:eastAsia="黑体"/>
          <w:sz w:val="30"/>
          <w:szCs w:val="30"/>
        </w:rPr>
        <w:t>、其他需要报告的事项</w:t>
      </w:r>
    </w:p>
    <w:p>
      <w:pPr>
        <w:keepNext w:val="0"/>
        <w:keepLines w:val="0"/>
        <w:pageBreakBefore w:val="0"/>
        <w:widowControl/>
        <w:kinsoku/>
        <w:wordWrap/>
        <w:overflowPunct/>
        <w:topLinePunct w:val="0"/>
        <w:autoSpaceDE/>
        <w:autoSpaceDN/>
        <w:bidi w:val="0"/>
        <w:spacing w:line="520" w:lineRule="exact"/>
        <w:ind w:firstLine="480" w:firstLineChars="200"/>
        <w:jc w:val="left"/>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val="en-US" w:eastAsia="zh-CN"/>
        </w:rPr>
        <w:t>2020</w:t>
      </w:r>
      <w:r>
        <w:rPr>
          <w:rFonts w:hint="eastAsia" w:ascii="仿宋_GB2312" w:hAnsi="仿宋_GB2312" w:eastAsia="仿宋_GB2312" w:cs="仿宋_GB2312"/>
          <w:kern w:val="0"/>
          <w:sz w:val="24"/>
          <w:szCs w:val="24"/>
        </w:rPr>
        <w:t>年我局无其他需要报告的事项。</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8D470"/>
    <w:multiLevelType w:val="singleLevel"/>
    <w:tmpl w:val="12E8D470"/>
    <w:lvl w:ilvl="0" w:tentative="0">
      <w:start w:val="1"/>
      <w:numFmt w:val="decimal"/>
      <w:suff w:val="nothing"/>
      <w:lvlText w:val="%1、"/>
      <w:lvlJc w:val="left"/>
    </w:lvl>
  </w:abstractNum>
  <w:abstractNum w:abstractNumId="1">
    <w:nsid w:val="3307E9F0"/>
    <w:multiLevelType w:val="singleLevel"/>
    <w:tmpl w:val="3307E9F0"/>
    <w:lvl w:ilvl="0" w:tentative="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A1498"/>
    <w:rsid w:val="0FE364FB"/>
    <w:rsid w:val="3CD40AC7"/>
    <w:rsid w:val="467A14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2021-01-13T00:55:00Z</dcterms:created>
  <dc:creator>StorM</dc:creator>
  <cp:lastModifiedBy>StorM</cp:lastModifiedBy>
  <dcterms:modified xsi:type="dcterms:W3CDTF">2021-01-15T02:04:03Z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